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303BB" w14:textId="6FE89779" w:rsidR="002A4EB5" w:rsidRPr="002446B8" w:rsidRDefault="00CE3A10" w:rsidP="002446B8">
      <w:pPr>
        <w:jc w:val="center"/>
        <w:rPr>
          <w:b/>
          <w:bCs/>
          <w:sz w:val="40"/>
          <w:szCs w:val="40"/>
        </w:rPr>
      </w:pPr>
      <w:r w:rsidRPr="002446B8">
        <w:rPr>
          <w:b/>
          <w:bCs/>
          <w:sz w:val="40"/>
          <w:szCs w:val="40"/>
        </w:rPr>
        <w:t>Course Plan</w:t>
      </w:r>
      <w:r w:rsidR="006F1805">
        <w:rPr>
          <w:b/>
          <w:bCs/>
          <w:sz w:val="40"/>
          <w:szCs w:val="40"/>
        </w:rPr>
        <w:t xml:space="preserve"> (</w:t>
      </w:r>
      <w:r w:rsidR="00C4769D" w:rsidRPr="00914592">
        <w:rPr>
          <w:b/>
          <w:bCs/>
        </w:rPr>
        <w:t>Physical Inorganic &amp; Analytical Chemistry Practical</w:t>
      </w:r>
      <w:r w:rsidR="006F1805">
        <w:rPr>
          <w:b/>
          <w:bCs/>
          <w:sz w:val="40"/>
          <w:szCs w:val="40"/>
        </w:rPr>
        <w:t>)</w:t>
      </w:r>
    </w:p>
    <w:tbl>
      <w:tblPr>
        <w:tblStyle w:val="TableGrid121"/>
        <w:tblW w:w="9535" w:type="dxa"/>
        <w:tblLayout w:type="fixed"/>
        <w:tblLook w:val="04A0" w:firstRow="1" w:lastRow="0" w:firstColumn="1" w:lastColumn="0" w:noHBand="0" w:noVBand="1"/>
      </w:tblPr>
      <w:tblGrid>
        <w:gridCol w:w="9535"/>
      </w:tblGrid>
      <w:tr w:rsidR="00C4769D" w:rsidRPr="0079178F" w14:paraId="2B8EB104" w14:textId="77777777" w:rsidTr="00F73106">
        <w:trPr>
          <w:trHeight w:val="377"/>
        </w:trPr>
        <w:tc>
          <w:tcPr>
            <w:tcW w:w="9535" w:type="dxa"/>
          </w:tcPr>
          <w:p w14:paraId="1A32D7D4" w14:textId="3C2B96E4" w:rsidR="00C4769D" w:rsidRPr="0079178F" w:rsidRDefault="00C4769D" w:rsidP="00C4769D">
            <w:r w:rsidRPr="003B2735">
              <w:rPr>
                <w:b/>
              </w:rPr>
              <w:t xml:space="preserve">Course Title: </w:t>
            </w:r>
            <w:r w:rsidRPr="00914592">
              <w:rPr>
                <w:b/>
                <w:bCs/>
              </w:rPr>
              <w:t>Physical Inorganic &amp; Analytical Chemistry Practical</w:t>
            </w:r>
          </w:p>
        </w:tc>
      </w:tr>
    </w:tbl>
    <w:tbl>
      <w:tblPr>
        <w:tblStyle w:val="TableGrid"/>
        <w:tblW w:w="9535" w:type="dxa"/>
        <w:tblLayout w:type="fixed"/>
        <w:tblLook w:val="04A0" w:firstRow="1" w:lastRow="0" w:firstColumn="1" w:lastColumn="0" w:noHBand="0" w:noVBand="1"/>
      </w:tblPr>
      <w:tblGrid>
        <w:gridCol w:w="2965"/>
        <w:gridCol w:w="3060"/>
        <w:gridCol w:w="3510"/>
      </w:tblGrid>
      <w:tr w:rsidR="00C4769D" w:rsidRPr="0079178F" w14:paraId="799FF912" w14:textId="77777777" w:rsidTr="00F73106">
        <w:tc>
          <w:tcPr>
            <w:tcW w:w="2965" w:type="dxa"/>
          </w:tcPr>
          <w:p w14:paraId="1C29B2FF" w14:textId="486E4977" w:rsidR="00C4769D" w:rsidRPr="0079178F" w:rsidRDefault="00C4769D" w:rsidP="00C4769D">
            <w:pPr>
              <w:rPr>
                <w:b/>
              </w:rPr>
            </w:pPr>
            <w:r w:rsidRPr="003B2735">
              <w:rPr>
                <w:b/>
              </w:rPr>
              <w:t>Course Code:</w:t>
            </w:r>
            <w:r>
              <w:rPr>
                <w:b/>
              </w:rPr>
              <w:t xml:space="preserve"> </w:t>
            </w:r>
            <w:r w:rsidRPr="003B2735">
              <w:rPr>
                <w:bCs/>
              </w:rPr>
              <w:t>NFE 116</w:t>
            </w:r>
          </w:p>
        </w:tc>
        <w:tc>
          <w:tcPr>
            <w:tcW w:w="3060" w:type="dxa"/>
          </w:tcPr>
          <w:p w14:paraId="06C495E1" w14:textId="104840B0" w:rsidR="00C4769D" w:rsidRPr="0079178F" w:rsidRDefault="00C4769D" w:rsidP="00C4769D">
            <w:pPr>
              <w:jc w:val="center"/>
              <w:rPr>
                <w:b/>
                <w:u w:val="single"/>
              </w:rPr>
            </w:pPr>
            <w:r w:rsidRPr="003B2735">
              <w:rPr>
                <w:b/>
              </w:rPr>
              <w:t>Course Code:</w:t>
            </w:r>
            <w:r>
              <w:rPr>
                <w:b/>
              </w:rPr>
              <w:t xml:space="preserve"> </w:t>
            </w:r>
            <w:r w:rsidRPr="003B2735">
              <w:rPr>
                <w:bCs/>
              </w:rPr>
              <w:t>NFE 116</w:t>
            </w:r>
          </w:p>
        </w:tc>
        <w:tc>
          <w:tcPr>
            <w:tcW w:w="3510" w:type="dxa"/>
          </w:tcPr>
          <w:p w14:paraId="3EB67B2B" w14:textId="250C7BD4" w:rsidR="00C4769D" w:rsidRPr="0079178F" w:rsidRDefault="00C4769D" w:rsidP="00C4769D">
            <w:pPr>
              <w:jc w:val="center"/>
            </w:pPr>
            <w:r w:rsidRPr="003B2735">
              <w:rPr>
                <w:b/>
              </w:rPr>
              <w:t>Course Code:</w:t>
            </w:r>
            <w:r>
              <w:rPr>
                <w:b/>
              </w:rPr>
              <w:t xml:space="preserve"> </w:t>
            </w:r>
            <w:r w:rsidRPr="003B2735">
              <w:rPr>
                <w:bCs/>
              </w:rPr>
              <w:t>NFE 116</w:t>
            </w:r>
          </w:p>
        </w:tc>
      </w:tr>
      <w:tr w:rsidR="00C4769D" w:rsidRPr="0079178F" w14:paraId="244E1AA2" w14:textId="77777777" w:rsidTr="00F73106">
        <w:tc>
          <w:tcPr>
            <w:tcW w:w="9535" w:type="dxa"/>
            <w:gridSpan w:val="3"/>
          </w:tcPr>
          <w:p w14:paraId="092324F9" w14:textId="2C34E5B7" w:rsidR="00C4769D" w:rsidRPr="0079178F" w:rsidRDefault="00C4769D" w:rsidP="00C4769D">
            <w:pPr>
              <w:ind w:left="1320" w:hanging="1320"/>
              <w:jc w:val="both"/>
              <w:rPr>
                <w:lang w:val="en-MY"/>
              </w:rPr>
            </w:pPr>
            <w:r w:rsidRPr="003B2735">
              <w:rPr>
                <w:b/>
              </w:rPr>
              <w:t xml:space="preserve">Rationale: </w:t>
            </w:r>
            <w:r w:rsidRPr="003B2735">
              <w:rPr>
                <w:bCs/>
              </w:rPr>
              <w:t xml:space="preserve">This course is designed to provide practical knowledge of Physical Inorganic and Analytical chemistry and allied subjects. This course covers qualitative analysis of the inorganic compounds and quantitative (enthalpy and titrimetric) analysis so that students will be able </w:t>
            </w:r>
            <w:r w:rsidRPr="003B2735">
              <w:rPr>
                <w:bCs/>
                <w:lang w:val="en-MY"/>
              </w:rPr>
              <w:t xml:space="preserve">to determine composition of inorganic compounds </w:t>
            </w:r>
            <w:r w:rsidR="003A02E8">
              <w:rPr>
                <w:bCs/>
                <w:lang w:val="en-MY"/>
              </w:rPr>
              <w:t xml:space="preserve">individually </w:t>
            </w:r>
            <w:r w:rsidRPr="003B2735">
              <w:rPr>
                <w:bCs/>
                <w:lang w:val="en-MY"/>
              </w:rPr>
              <w:t>and to learn to do titrimetric analysis (acid- base, redox) and enthalpy change of reaction</w:t>
            </w:r>
            <w:r w:rsidR="003A02E8">
              <w:rPr>
                <w:bCs/>
                <w:lang w:val="en-MY"/>
              </w:rPr>
              <w:t xml:space="preserve"> by themselves</w:t>
            </w:r>
            <w:r w:rsidRPr="003B2735">
              <w:rPr>
                <w:bCs/>
                <w:lang w:val="en-MY"/>
              </w:rPr>
              <w:t>.</w:t>
            </w:r>
          </w:p>
        </w:tc>
      </w:tr>
    </w:tbl>
    <w:tbl>
      <w:tblPr>
        <w:tblStyle w:val="TableGrid121"/>
        <w:tblW w:w="9535" w:type="dxa"/>
        <w:tblLayout w:type="fixed"/>
        <w:tblLook w:val="04A0" w:firstRow="1" w:lastRow="0" w:firstColumn="1" w:lastColumn="0" w:noHBand="0" w:noVBand="1"/>
      </w:tblPr>
      <w:tblGrid>
        <w:gridCol w:w="9535"/>
      </w:tblGrid>
      <w:tr w:rsidR="00C4769D" w:rsidRPr="0079178F" w14:paraId="750F09F8" w14:textId="77777777" w:rsidTr="00F73106">
        <w:tc>
          <w:tcPr>
            <w:tcW w:w="9535" w:type="dxa"/>
          </w:tcPr>
          <w:p w14:paraId="48B742F9" w14:textId="77777777" w:rsidR="00C4769D" w:rsidRPr="003B2735" w:rsidRDefault="00C4769D" w:rsidP="00C4769D">
            <w:pPr>
              <w:tabs>
                <w:tab w:val="left" w:pos="1230"/>
              </w:tabs>
              <w:rPr>
                <w:bCs/>
              </w:rPr>
            </w:pPr>
            <w:r w:rsidRPr="003B2735">
              <w:rPr>
                <w:b/>
              </w:rPr>
              <w:t>Objectives:</w:t>
            </w:r>
            <w:r w:rsidRPr="003B2735">
              <w:tab/>
            </w:r>
            <w:r w:rsidRPr="003B2735">
              <w:rPr>
                <w:bCs/>
              </w:rPr>
              <w:t>The specific objectives of the course are:</w:t>
            </w:r>
          </w:p>
          <w:p w14:paraId="399137C7" w14:textId="77777777" w:rsidR="00C4769D" w:rsidRPr="003B2735" w:rsidRDefault="00C4769D" w:rsidP="00C4769D">
            <w:pPr>
              <w:numPr>
                <w:ilvl w:val="0"/>
                <w:numId w:val="1"/>
              </w:numPr>
              <w:tabs>
                <w:tab w:val="left" w:pos="1410"/>
              </w:tabs>
              <w:ind w:hanging="180"/>
              <w:contextualSpacing/>
              <w:rPr>
                <w:bCs/>
              </w:rPr>
            </w:pPr>
            <w:r w:rsidRPr="003B2735">
              <w:rPr>
                <w:bCs/>
              </w:rPr>
              <w:t>to develop necessary skills on analyzing cations and anions present in inorganic compounds.</w:t>
            </w:r>
          </w:p>
          <w:p w14:paraId="1315A7A9" w14:textId="77777777" w:rsidR="00C4769D" w:rsidRPr="003B2735" w:rsidRDefault="00C4769D" w:rsidP="00C4769D">
            <w:pPr>
              <w:numPr>
                <w:ilvl w:val="0"/>
                <w:numId w:val="1"/>
              </w:numPr>
              <w:tabs>
                <w:tab w:val="left" w:pos="1410"/>
              </w:tabs>
              <w:ind w:hanging="180"/>
              <w:contextualSpacing/>
              <w:rPr>
                <w:bCs/>
              </w:rPr>
            </w:pPr>
            <w:r w:rsidRPr="003B2735">
              <w:rPr>
                <w:bCs/>
              </w:rPr>
              <w:t>to grow indispensable understanding in different titrimetric analysis.</w:t>
            </w:r>
          </w:p>
          <w:p w14:paraId="7BB54B19" w14:textId="40CDB41E" w:rsidR="00C4769D" w:rsidRPr="0079178F" w:rsidRDefault="00C4769D" w:rsidP="00C4769D">
            <w:pPr>
              <w:numPr>
                <w:ilvl w:val="0"/>
                <w:numId w:val="1"/>
              </w:numPr>
              <w:contextualSpacing/>
              <w:jc w:val="both"/>
              <w:rPr>
                <w:bCs/>
              </w:rPr>
            </w:pPr>
            <w:r w:rsidRPr="003B2735">
              <w:rPr>
                <w:bCs/>
              </w:rPr>
              <w:t>to provide essential knowledge on how to design, carry</w:t>
            </w:r>
            <w:r w:rsidRPr="003B2735">
              <w:rPr>
                <w:bCs/>
                <w:lang w:val="en-MY"/>
              </w:rPr>
              <w:t xml:space="preserve"> out, record and analyse the results of chemical experiments.</w:t>
            </w:r>
          </w:p>
        </w:tc>
      </w:tr>
      <w:tr w:rsidR="00F038F6" w:rsidRPr="0079178F" w14:paraId="7448EA7C" w14:textId="77777777" w:rsidTr="00F73106">
        <w:tc>
          <w:tcPr>
            <w:tcW w:w="9535" w:type="dxa"/>
          </w:tcPr>
          <w:p w14:paraId="3601D1B5" w14:textId="77777777" w:rsidR="00F038F6" w:rsidRDefault="00F038F6" w:rsidP="00F038F6">
            <w:pPr>
              <w:rPr>
                <w:b/>
                <w:bCs/>
              </w:rPr>
            </w:pPr>
          </w:p>
          <w:p w14:paraId="1E105992" w14:textId="29E02A9B" w:rsidR="00F038F6" w:rsidRPr="00F038F6" w:rsidRDefault="00F038F6" w:rsidP="00F038F6">
            <w:r w:rsidRPr="00157B16">
              <w:rPr>
                <w:b/>
                <w:bCs/>
              </w:rPr>
              <w:t>Outcome:</w:t>
            </w:r>
            <w:r>
              <w:t xml:space="preserve"> The knowledge and concepts of </w:t>
            </w:r>
            <w:r w:rsidR="003A02E8">
              <w:t>Physical, Inorganic and Analytical</w:t>
            </w:r>
            <w:r>
              <w:t xml:space="preserve"> </w:t>
            </w:r>
            <w:r w:rsidR="003A02E8">
              <w:t>Chemistry</w:t>
            </w:r>
            <w:r>
              <w:t xml:space="preserve"> are actively used to reinforce the previous learning. Such practical activities promote students’ readiness for their future career as laboratory experts. The approach of this course is also to link all written laboratory activities with illustrations to facilitate well understanding of the practical laboratory steps.</w:t>
            </w:r>
          </w:p>
        </w:tc>
      </w:tr>
    </w:tbl>
    <w:p w14:paraId="388783BC" w14:textId="48A7A3F7" w:rsidR="002A4EB5" w:rsidRDefault="002A4EB5"/>
    <w:tbl>
      <w:tblPr>
        <w:tblStyle w:val="TableGrid"/>
        <w:tblW w:w="14220" w:type="dxa"/>
        <w:tblInd w:w="-185" w:type="dxa"/>
        <w:tblLook w:val="04A0" w:firstRow="1" w:lastRow="0" w:firstColumn="1" w:lastColumn="0" w:noHBand="0" w:noVBand="1"/>
      </w:tblPr>
      <w:tblGrid>
        <w:gridCol w:w="743"/>
        <w:gridCol w:w="1888"/>
        <w:gridCol w:w="4929"/>
        <w:gridCol w:w="2352"/>
        <w:gridCol w:w="4308"/>
      </w:tblGrid>
      <w:tr w:rsidR="004F0664" w14:paraId="408645A1" w14:textId="77777777" w:rsidTr="00E5344E">
        <w:trPr>
          <w:gridAfter w:val="1"/>
          <w:wAfter w:w="4308" w:type="dxa"/>
          <w:trHeight w:val="287"/>
        </w:trPr>
        <w:tc>
          <w:tcPr>
            <w:tcW w:w="743" w:type="dxa"/>
          </w:tcPr>
          <w:p w14:paraId="6F710773" w14:textId="4C764310" w:rsidR="00A92F45" w:rsidRPr="002B1027" w:rsidRDefault="00A92F45">
            <w:pPr>
              <w:rPr>
                <w:b/>
                <w:bCs/>
              </w:rPr>
            </w:pPr>
            <w:r w:rsidRPr="002B1027">
              <w:rPr>
                <w:b/>
                <w:bCs/>
              </w:rPr>
              <w:t>Week</w:t>
            </w:r>
          </w:p>
        </w:tc>
        <w:tc>
          <w:tcPr>
            <w:tcW w:w="1888" w:type="dxa"/>
          </w:tcPr>
          <w:p w14:paraId="5E37BD16" w14:textId="213102EE" w:rsidR="00A92F45" w:rsidRPr="002B1027" w:rsidRDefault="00A92F45">
            <w:pPr>
              <w:rPr>
                <w:b/>
                <w:bCs/>
              </w:rPr>
            </w:pPr>
            <w:r w:rsidRPr="002B1027">
              <w:rPr>
                <w:b/>
                <w:bCs/>
              </w:rPr>
              <w:t>Learning platform</w:t>
            </w:r>
          </w:p>
        </w:tc>
        <w:tc>
          <w:tcPr>
            <w:tcW w:w="4929" w:type="dxa"/>
          </w:tcPr>
          <w:p w14:paraId="00A15DCC" w14:textId="5C0FFC52" w:rsidR="00A92F45" w:rsidRPr="002B1027" w:rsidRDefault="00A92F45" w:rsidP="00F038F6">
            <w:pPr>
              <w:jc w:val="center"/>
              <w:rPr>
                <w:b/>
                <w:bCs/>
              </w:rPr>
            </w:pPr>
            <w:r w:rsidRPr="002B1027">
              <w:rPr>
                <w:b/>
                <w:bCs/>
              </w:rPr>
              <w:t>Topic</w:t>
            </w:r>
          </w:p>
          <w:p w14:paraId="1B5DEE01" w14:textId="55453BB2" w:rsidR="00A92F45" w:rsidRPr="002B1027" w:rsidRDefault="00A92F45">
            <w:pPr>
              <w:rPr>
                <w:b/>
                <w:bCs/>
              </w:rPr>
            </w:pPr>
          </w:p>
        </w:tc>
        <w:tc>
          <w:tcPr>
            <w:tcW w:w="2352" w:type="dxa"/>
          </w:tcPr>
          <w:p w14:paraId="7D805D3F" w14:textId="7277B481" w:rsidR="00A92F45" w:rsidRPr="002B1027" w:rsidRDefault="00A92F45">
            <w:pPr>
              <w:rPr>
                <w:b/>
                <w:bCs/>
              </w:rPr>
            </w:pPr>
            <w:r w:rsidRPr="002B1027">
              <w:rPr>
                <w:b/>
                <w:bCs/>
              </w:rPr>
              <w:t>Learning outcomes/benefits</w:t>
            </w:r>
          </w:p>
        </w:tc>
      </w:tr>
      <w:tr w:rsidR="004F0664" w14:paraId="130FB743" w14:textId="77777777" w:rsidTr="00E5344E">
        <w:trPr>
          <w:gridAfter w:val="1"/>
          <w:wAfter w:w="4308" w:type="dxa"/>
          <w:trHeight w:val="1255"/>
        </w:trPr>
        <w:tc>
          <w:tcPr>
            <w:tcW w:w="743" w:type="dxa"/>
          </w:tcPr>
          <w:p w14:paraId="7A2A022F" w14:textId="4F51592C" w:rsidR="00A92F45" w:rsidRDefault="00A92F45">
            <w:r>
              <w:t>1</w:t>
            </w:r>
          </w:p>
        </w:tc>
        <w:tc>
          <w:tcPr>
            <w:tcW w:w="1888" w:type="dxa"/>
          </w:tcPr>
          <w:p w14:paraId="38A2B6F7" w14:textId="610A3CC9" w:rsidR="00A92F45" w:rsidRDefault="00A92F45">
            <w:r>
              <w:t>Online</w:t>
            </w:r>
            <w:r w:rsidR="004F0664">
              <w:t xml:space="preserve"> discussion, watching videos</w:t>
            </w:r>
          </w:p>
        </w:tc>
        <w:tc>
          <w:tcPr>
            <w:tcW w:w="4929" w:type="dxa"/>
          </w:tcPr>
          <w:p w14:paraId="287C7FD5" w14:textId="77777777" w:rsidR="00A92F45" w:rsidRDefault="00A92F45" w:rsidP="002B1027">
            <w:pPr>
              <w:pStyle w:val="ListParagraph"/>
              <w:numPr>
                <w:ilvl w:val="0"/>
                <w:numId w:val="2"/>
              </w:numPr>
            </w:pPr>
            <w:r w:rsidRPr="00A92F45">
              <w:t>Discussion about necessary human qualities and honesty of the students</w:t>
            </w:r>
            <w:r w:rsidR="002B1027">
              <w:t>.</w:t>
            </w:r>
          </w:p>
          <w:p w14:paraId="5551FF2A" w14:textId="688BADDA" w:rsidR="002B1027" w:rsidRDefault="002B1027" w:rsidP="002B1027">
            <w:pPr>
              <w:pStyle w:val="ListParagraph"/>
              <w:numPr>
                <w:ilvl w:val="0"/>
                <w:numId w:val="2"/>
              </w:numPr>
            </w:pPr>
            <w:r>
              <w:t xml:space="preserve">Importance of </w:t>
            </w:r>
            <w:r w:rsidR="00C4769D" w:rsidRPr="00914592">
              <w:rPr>
                <w:b/>
                <w:bCs/>
              </w:rPr>
              <w:t xml:space="preserve">Physical Inorganic &amp; Analytical Chemistry </w:t>
            </w:r>
            <w:r>
              <w:t>in Food and Nutrition Engineering</w:t>
            </w:r>
          </w:p>
        </w:tc>
        <w:tc>
          <w:tcPr>
            <w:tcW w:w="2352" w:type="dxa"/>
          </w:tcPr>
          <w:p w14:paraId="45B6DB81" w14:textId="4FD9A942" w:rsidR="00A92F45" w:rsidRDefault="00F038F6">
            <w:r>
              <w:t>S</w:t>
            </w:r>
            <w:r w:rsidR="002B1027">
              <w:t xml:space="preserve">tudents can understand </w:t>
            </w:r>
            <w:r w:rsidR="00201F4E">
              <w:t>the Engineering</w:t>
            </w:r>
            <w:r w:rsidR="007244DA">
              <w:t xml:space="preserve"> Ethics as well as the importance of this course</w:t>
            </w:r>
          </w:p>
        </w:tc>
      </w:tr>
      <w:tr w:rsidR="005D14A9" w14:paraId="64420A6E" w14:textId="77777777" w:rsidTr="00E5344E">
        <w:trPr>
          <w:gridAfter w:val="1"/>
          <w:wAfter w:w="4308" w:type="dxa"/>
          <w:trHeight w:val="1311"/>
        </w:trPr>
        <w:tc>
          <w:tcPr>
            <w:tcW w:w="743" w:type="dxa"/>
          </w:tcPr>
          <w:p w14:paraId="5CF63F2F" w14:textId="7ED6BD27" w:rsidR="005D14A9" w:rsidRDefault="005D14A9">
            <w:r>
              <w:t>2</w:t>
            </w:r>
          </w:p>
        </w:tc>
        <w:tc>
          <w:tcPr>
            <w:tcW w:w="1888" w:type="dxa"/>
          </w:tcPr>
          <w:p w14:paraId="6DE2D09A" w14:textId="7EF6D186" w:rsidR="005D14A9" w:rsidRDefault="005D14A9">
            <w:r>
              <w:t>Online discussion, watching videos and practicing reactions on digital board</w:t>
            </w:r>
          </w:p>
        </w:tc>
        <w:tc>
          <w:tcPr>
            <w:tcW w:w="4929" w:type="dxa"/>
          </w:tcPr>
          <w:p w14:paraId="07F52447" w14:textId="5D9A83F7" w:rsidR="005D14A9" w:rsidRDefault="005D14A9" w:rsidP="00053807">
            <w:pPr>
              <w:autoSpaceDE w:val="0"/>
              <w:autoSpaceDN w:val="0"/>
              <w:adjustRightInd w:val="0"/>
              <w:jc w:val="both"/>
            </w:pPr>
            <w:r>
              <w:t>Principals, methods and necessary reactions of identification-</w:t>
            </w:r>
          </w:p>
          <w:p w14:paraId="22416A3B" w14:textId="434F07AA" w:rsidR="00053807" w:rsidRPr="00053807" w:rsidRDefault="00053807" w:rsidP="00053807">
            <w:pPr>
              <w:pStyle w:val="ListParagraph"/>
              <w:numPr>
                <w:ilvl w:val="0"/>
                <w:numId w:val="10"/>
              </w:numPr>
              <w:autoSpaceDE w:val="0"/>
              <w:autoSpaceDN w:val="0"/>
              <w:adjustRightInd w:val="0"/>
              <w:jc w:val="both"/>
            </w:pPr>
            <w:r>
              <w:t>Group I &amp; II metal cations by flame test.</w:t>
            </w:r>
          </w:p>
          <w:p w14:paraId="31699EAE" w14:textId="00F2FF3B" w:rsidR="005D14A9" w:rsidRDefault="005D14A9"/>
        </w:tc>
        <w:tc>
          <w:tcPr>
            <w:tcW w:w="2352" w:type="dxa"/>
            <w:vMerge w:val="restart"/>
          </w:tcPr>
          <w:p w14:paraId="04A5BE5E" w14:textId="77777777" w:rsidR="005D14A9" w:rsidRDefault="005D14A9" w:rsidP="005D14A9">
            <w:pPr>
              <w:jc w:val="both"/>
            </w:pPr>
          </w:p>
          <w:p w14:paraId="31971063" w14:textId="77777777" w:rsidR="005D14A9" w:rsidRDefault="005D14A9" w:rsidP="005D14A9">
            <w:pPr>
              <w:jc w:val="both"/>
            </w:pPr>
          </w:p>
          <w:p w14:paraId="3BF94111" w14:textId="193D97C6" w:rsidR="005D14A9" w:rsidRDefault="005D14A9" w:rsidP="005D14A9">
            <w:pPr>
              <w:jc w:val="both"/>
            </w:pPr>
            <w:r>
              <w:t xml:space="preserve">Practical experience </w:t>
            </w:r>
            <w:proofErr w:type="gramStart"/>
            <w:r>
              <w:t xml:space="preserve">of  </w:t>
            </w:r>
            <w:r w:rsidRPr="005D14A9">
              <w:t>identification</w:t>
            </w:r>
            <w:proofErr w:type="gramEnd"/>
            <w:r w:rsidR="003A02E8">
              <w:t xml:space="preserve"> of cations and anions</w:t>
            </w:r>
            <w:r w:rsidRPr="005D14A9">
              <w:t xml:space="preserve"> in the laboratory will increase students' confidence and skills and enable them to develop themselves as laboratory experts for </w:t>
            </w:r>
            <w:r w:rsidR="003A02E8">
              <w:t xml:space="preserve">their respective field of work </w:t>
            </w:r>
            <w:r w:rsidRPr="005D14A9">
              <w:t>.</w:t>
            </w:r>
          </w:p>
        </w:tc>
      </w:tr>
      <w:tr w:rsidR="005D14A9" w14:paraId="38F38F72" w14:textId="77777777" w:rsidTr="00E5344E">
        <w:trPr>
          <w:gridAfter w:val="1"/>
          <w:wAfter w:w="4308" w:type="dxa"/>
          <w:trHeight w:val="1255"/>
        </w:trPr>
        <w:tc>
          <w:tcPr>
            <w:tcW w:w="743" w:type="dxa"/>
          </w:tcPr>
          <w:p w14:paraId="54971552" w14:textId="0F238F03" w:rsidR="005D14A9" w:rsidRDefault="005D14A9">
            <w:r>
              <w:t>3</w:t>
            </w:r>
          </w:p>
        </w:tc>
        <w:tc>
          <w:tcPr>
            <w:tcW w:w="1888" w:type="dxa"/>
          </w:tcPr>
          <w:p w14:paraId="4319D231" w14:textId="4D40B1AF" w:rsidR="005D14A9" w:rsidRDefault="005D14A9">
            <w:r>
              <w:t>Online discussion, watching videos and practicing reactions on digital board</w:t>
            </w:r>
          </w:p>
        </w:tc>
        <w:tc>
          <w:tcPr>
            <w:tcW w:w="4929" w:type="dxa"/>
          </w:tcPr>
          <w:p w14:paraId="7E7B2F60" w14:textId="17122738" w:rsidR="005D14A9" w:rsidRDefault="005D14A9">
            <w:r>
              <w:t xml:space="preserve">Principals, methods and reactions of identification- </w:t>
            </w:r>
          </w:p>
          <w:p w14:paraId="50A16EC0" w14:textId="50D6D294" w:rsidR="005D14A9" w:rsidRDefault="00053807" w:rsidP="00053807">
            <w:pPr>
              <w:pStyle w:val="ListParagraph"/>
              <w:numPr>
                <w:ilvl w:val="0"/>
                <w:numId w:val="4"/>
              </w:numPr>
            </w:pPr>
            <w:r>
              <w:t>Cations (</w:t>
            </w:r>
            <w:r w:rsidR="002F4BCF" w:rsidRPr="003B2735">
              <w:rPr>
                <w:bCs/>
                <w:lang w:val="en-MY"/>
              </w:rPr>
              <w:t>Fe²⁺, Fe</w:t>
            </w:r>
            <w:r w:rsidR="002F4BCF" w:rsidRPr="003B2735">
              <w:rPr>
                <w:bCs/>
                <w:vertAlign w:val="superscript"/>
                <w:lang w:val="en-MY"/>
              </w:rPr>
              <w:t>3</w:t>
            </w:r>
            <w:r w:rsidR="002F4BCF" w:rsidRPr="003B2735">
              <w:rPr>
                <w:bCs/>
                <w:lang w:val="en-MY"/>
              </w:rPr>
              <w:t>⁺,</w:t>
            </w:r>
            <w:r w:rsidR="002F4BCF">
              <w:rPr>
                <w:bCs/>
                <w:lang w:val="en-MY"/>
              </w:rPr>
              <w:t xml:space="preserve"> Cu</w:t>
            </w:r>
            <w:r w:rsidR="002F4BCF" w:rsidRPr="003B2735">
              <w:rPr>
                <w:bCs/>
                <w:lang w:val="en-MY"/>
              </w:rPr>
              <w:t>²⁺</w:t>
            </w:r>
            <w:r w:rsidR="002F4BCF">
              <w:rPr>
                <w:bCs/>
                <w:lang w:val="en-MY"/>
              </w:rPr>
              <w:t>,</w:t>
            </w:r>
            <w:r w:rsidR="002F4BCF" w:rsidRPr="003B2735">
              <w:rPr>
                <w:bCs/>
                <w:lang w:val="en-MY"/>
              </w:rPr>
              <w:t xml:space="preserve"> Cr</w:t>
            </w:r>
            <w:r w:rsidR="002F4BCF" w:rsidRPr="003B2735">
              <w:rPr>
                <w:bCs/>
                <w:vertAlign w:val="superscript"/>
                <w:lang w:val="en-MY"/>
              </w:rPr>
              <w:t>3</w:t>
            </w:r>
            <w:r w:rsidR="002F4BCF" w:rsidRPr="003B2735">
              <w:rPr>
                <w:bCs/>
                <w:lang w:val="en-MY"/>
              </w:rPr>
              <w:t xml:space="preserve">⁺, </w:t>
            </w:r>
            <w:r w:rsidR="002F4BCF">
              <w:rPr>
                <w:bCs/>
                <w:lang w:val="en-MY"/>
              </w:rPr>
              <w:t>Ca</w:t>
            </w:r>
            <w:r w:rsidR="002F4BCF" w:rsidRPr="003B2735">
              <w:rPr>
                <w:bCs/>
                <w:lang w:val="en-MY"/>
              </w:rPr>
              <w:t xml:space="preserve">²⁺, Pb²⁺, </w:t>
            </w:r>
            <w:r w:rsidR="002F4BCF">
              <w:rPr>
                <w:bCs/>
                <w:lang w:val="en-MY"/>
              </w:rPr>
              <w:t>Zn</w:t>
            </w:r>
            <w:r w:rsidR="002F4BCF" w:rsidRPr="003B2735">
              <w:rPr>
                <w:bCs/>
                <w:lang w:val="en-MY"/>
              </w:rPr>
              <w:t>²⁺, Al</w:t>
            </w:r>
            <w:r w:rsidR="002F4BCF" w:rsidRPr="003B2735">
              <w:rPr>
                <w:bCs/>
                <w:vertAlign w:val="superscript"/>
                <w:lang w:val="en-MY"/>
              </w:rPr>
              <w:t>3</w:t>
            </w:r>
            <w:r w:rsidR="002F4BCF" w:rsidRPr="003B2735">
              <w:rPr>
                <w:bCs/>
                <w:lang w:val="en-MY"/>
              </w:rPr>
              <w:t>⁺</w:t>
            </w:r>
            <w:r w:rsidR="002F4BCF">
              <w:rPr>
                <w:bCs/>
                <w:lang w:val="en-MY"/>
              </w:rPr>
              <w:t>, NH4</w:t>
            </w:r>
            <w:proofErr w:type="gramStart"/>
            <w:r w:rsidR="002F4BCF" w:rsidRPr="002F4BCF">
              <w:rPr>
                <w:bCs/>
                <w:vertAlign w:val="superscript"/>
                <w:lang w:val="en-MY"/>
              </w:rPr>
              <w:t>+</w:t>
            </w:r>
            <w:r w:rsidR="002F4BCF">
              <w:rPr>
                <w:bCs/>
                <w:vertAlign w:val="superscript"/>
                <w:lang w:val="en-MY"/>
              </w:rPr>
              <w:t xml:space="preserve"> </w:t>
            </w:r>
            <w:r w:rsidR="002F4BCF">
              <w:rPr>
                <w:bCs/>
                <w:lang w:val="en-MY"/>
              </w:rPr>
              <w:t>)</w:t>
            </w:r>
            <w:proofErr w:type="gramEnd"/>
          </w:p>
        </w:tc>
        <w:tc>
          <w:tcPr>
            <w:tcW w:w="2352" w:type="dxa"/>
            <w:vMerge/>
          </w:tcPr>
          <w:p w14:paraId="5C22AA7E" w14:textId="77777777" w:rsidR="005D14A9" w:rsidRDefault="005D14A9"/>
        </w:tc>
      </w:tr>
      <w:tr w:rsidR="005D14A9" w14:paraId="621528F9" w14:textId="77777777" w:rsidTr="00E5344E">
        <w:trPr>
          <w:gridAfter w:val="1"/>
          <w:wAfter w:w="4308" w:type="dxa"/>
          <w:trHeight w:val="1255"/>
        </w:trPr>
        <w:tc>
          <w:tcPr>
            <w:tcW w:w="743" w:type="dxa"/>
          </w:tcPr>
          <w:p w14:paraId="72D2E2ED" w14:textId="623213B8" w:rsidR="005D14A9" w:rsidRDefault="005D14A9" w:rsidP="00580743">
            <w:r>
              <w:t>4</w:t>
            </w:r>
          </w:p>
        </w:tc>
        <w:tc>
          <w:tcPr>
            <w:tcW w:w="1888" w:type="dxa"/>
          </w:tcPr>
          <w:p w14:paraId="1F588820" w14:textId="553A01B2" w:rsidR="005D14A9" w:rsidRDefault="005D14A9" w:rsidP="00580743">
            <w:r>
              <w:t>Online discussion, watching videos and practicing reactions on digital board</w:t>
            </w:r>
          </w:p>
        </w:tc>
        <w:tc>
          <w:tcPr>
            <w:tcW w:w="4929" w:type="dxa"/>
          </w:tcPr>
          <w:p w14:paraId="28943499" w14:textId="0A9BAE9A" w:rsidR="005D14A9" w:rsidRDefault="005D14A9" w:rsidP="00580743">
            <w:pPr>
              <w:autoSpaceDE w:val="0"/>
              <w:autoSpaceDN w:val="0"/>
              <w:adjustRightInd w:val="0"/>
              <w:jc w:val="both"/>
            </w:pPr>
            <w:r>
              <w:t>Principals, methods and reactions of identification</w:t>
            </w:r>
            <w:r w:rsidR="002F4BCF">
              <w:t>-</w:t>
            </w:r>
            <w:r>
              <w:t xml:space="preserve"> </w:t>
            </w:r>
          </w:p>
          <w:p w14:paraId="6CB7C4FC" w14:textId="66ABEB43" w:rsidR="005D14A9" w:rsidRPr="002F4BCF" w:rsidRDefault="002F4BCF" w:rsidP="002F4BCF">
            <w:pPr>
              <w:pStyle w:val="ListParagraph"/>
              <w:numPr>
                <w:ilvl w:val="0"/>
                <w:numId w:val="11"/>
              </w:numPr>
              <w:autoSpaceDE w:val="0"/>
              <w:autoSpaceDN w:val="0"/>
              <w:adjustRightInd w:val="0"/>
              <w:jc w:val="both"/>
              <w:rPr>
                <w:bCs/>
              </w:rPr>
            </w:pPr>
            <w:r>
              <w:rPr>
                <w:bCs/>
              </w:rPr>
              <w:t>Anions (</w:t>
            </w:r>
            <w:r w:rsidRPr="003B2735">
              <w:rPr>
                <w:bCs/>
              </w:rPr>
              <w:t>Cl⁻, Br⁻, I⁻, CO</w:t>
            </w:r>
            <w:r w:rsidRPr="003B2735">
              <w:rPr>
                <w:bCs/>
                <w:vertAlign w:val="subscript"/>
              </w:rPr>
              <w:t>3</w:t>
            </w:r>
            <w:r w:rsidRPr="003B2735">
              <w:rPr>
                <w:bCs/>
                <w:vertAlign w:val="superscript"/>
              </w:rPr>
              <w:t>2</w:t>
            </w:r>
            <w:r w:rsidRPr="003B2735">
              <w:rPr>
                <w:bCs/>
              </w:rPr>
              <w:t>⁻, HCO</w:t>
            </w:r>
            <w:r w:rsidRPr="003B2735">
              <w:rPr>
                <w:bCs/>
                <w:vertAlign w:val="subscript"/>
              </w:rPr>
              <w:t>3</w:t>
            </w:r>
            <w:r w:rsidRPr="003B2735">
              <w:rPr>
                <w:bCs/>
              </w:rPr>
              <w:t>⁻</w:t>
            </w:r>
            <w:r>
              <w:rPr>
                <w:bCs/>
              </w:rPr>
              <w:t>,</w:t>
            </w:r>
            <w:r w:rsidRPr="003B2735">
              <w:rPr>
                <w:bCs/>
              </w:rPr>
              <w:t xml:space="preserve"> </w:t>
            </w:r>
            <w:r w:rsidRPr="003B2735">
              <w:rPr>
                <w:bCs/>
              </w:rPr>
              <w:t>NO</w:t>
            </w:r>
            <w:r w:rsidRPr="003B2735">
              <w:rPr>
                <w:bCs/>
                <w:vertAlign w:val="subscript"/>
              </w:rPr>
              <w:t>3</w:t>
            </w:r>
            <w:r w:rsidRPr="003B2735">
              <w:rPr>
                <w:bCs/>
              </w:rPr>
              <w:t>⁻, SO</w:t>
            </w:r>
            <w:r w:rsidRPr="003B2735">
              <w:rPr>
                <w:bCs/>
                <w:vertAlign w:val="subscript"/>
              </w:rPr>
              <w:t>4</w:t>
            </w:r>
            <w:r w:rsidRPr="003B2735">
              <w:rPr>
                <w:bCs/>
              </w:rPr>
              <w:t>²⁻ &amp; SO</w:t>
            </w:r>
            <w:r w:rsidRPr="003B2735">
              <w:rPr>
                <w:bCs/>
                <w:vertAlign w:val="subscript"/>
              </w:rPr>
              <w:t>3</w:t>
            </w:r>
            <w:r w:rsidRPr="003B2735">
              <w:rPr>
                <w:bCs/>
              </w:rPr>
              <w:t>²⁻</w:t>
            </w:r>
            <w:r>
              <w:rPr>
                <w:bCs/>
              </w:rPr>
              <w:t>)</w:t>
            </w:r>
          </w:p>
          <w:p w14:paraId="226AE801" w14:textId="77777777" w:rsidR="005D14A9" w:rsidRDefault="005D14A9" w:rsidP="00580743"/>
        </w:tc>
        <w:tc>
          <w:tcPr>
            <w:tcW w:w="2352" w:type="dxa"/>
            <w:vMerge/>
          </w:tcPr>
          <w:p w14:paraId="7A532090" w14:textId="77777777" w:rsidR="005D14A9" w:rsidRDefault="005D14A9" w:rsidP="00580743"/>
        </w:tc>
      </w:tr>
      <w:tr w:rsidR="00F038F6" w14:paraId="7384DCD4" w14:textId="0E9DAC92" w:rsidTr="00700A3A">
        <w:trPr>
          <w:trHeight w:val="800"/>
        </w:trPr>
        <w:tc>
          <w:tcPr>
            <w:tcW w:w="743" w:type="dxa"/>
          </w:tcPr>
          <w:p w14:paraId="544CE8F3" w14:textId="4C4C65D2" w:rsidR="00F038F6" w:rsidRDefault="00F245DA" w:rsidP="00F038F6">
            <w:r w:rsidRPr="002B1027">
              <w:rPr>
                <w:b/>
                <w:bCs/>
              </w:rPr>
              <w:lastRenderedPageBreak/>
              <w:t>Week</w:t>
            </w:r>
          </w:p>
        </w:tc>
        <w:tc>
          <w:tcPr>
            <w:tcW w:w="1888" w:type="dxa"/>
          </w:tcPr>
          <w:p w14:paraId="259187EC" w14:textId="5028B163" w:rsidR="00F038F6" w:rsidRDefault="00F245DA" w:rsidP="00F038F6">
            <w:r w:rsidRPr="002B1027">
              <w:rPr>
                <w:b/>
                <w:bCs/>
              </w:rPr>
              <w:t>Learning platform</w:t>
            </w:r>
          </w:p>
        </w:tc>
        <w:tc>
          <w:tcPr>
            <w:tcW w:w="4929" w:type="dxa"/>
          </w:tcPr>
          <w:p w14:paraId="5B1833D0" w14:textId="53D24DD7" w:rsidR="00F038F6" w:rsidRDefault="00F245DA" w:rsidP="00F038F6">
            <w:pPr>
              <w:autoSpaceDE w:val="0"/>
              <w:autoSpaceDN w:val="0"/>
              <w:adjustRightInd w:val="0"/>
              <w:jc w:val="both"/>
            </w:pPr>
            <w:r w:rsidRPr="002B1027">
              <w:rPr>
                <w:b/>
                <w:bCs/>
              </w:rPr>
              <w:t>Name of the Experiment</w:t>
            </w:r>
          </w:p>
        </w:tc>
        <w:tc>
          <w:tcPr>
            <w:tcW w:w="2352" w:type="dxa"/>
          </w:tcPr>
          <w:p w14:paraId="4A888C8D" w14:textId="1FB75B06" w:rsidR="00F038F6" w:rsidRDefault="00F245DA" w:rsidP="00F038F6">
            <w:r w:rsidRPr="002B1027">
              <w:rPr>
                <w:b/>
                <w:bCs/>
              </w:rPr>
              <w:t>Learning outcomes/benefits</w:t>
            </w:r>
          </w:p>
        </w:tc>
        <w:tc>
          <w:tcPr>
            <w:tcW w:w="4308" w:type="dxa"/>
          </w:tcPr>
          <w:p w14:paraId="51F21084" w14:textId="5313DCE0" w:rsidR="00F038F6" w:rsidRDefault="00F038F6" w:rsidP="00F038F6"/>
        </w:tc>
      </w:tr>
      <w:tr w:rsidR="005D14A9" w14:paraId="6C65FADA" w14:textId="77777777" w:rsidTr="00700A3A">
        <w:trPr>
          <w:gridAfter w:val="1"/>
          <w:wAfter w:w="4308" w:type="dxa"/>
          <w:trHeight w:val="1151"/>
        </w:trPr>
        <w:tc>
          <w:tcPr>
            <w:tcW w:w="743" w:type="dxa"/>
          </w:tcPr>
          <w:p w14:paraId="60D1D19D" w14:textId="362B6B70" w:rsidR="005D14A9" w:rsidRDefault="005D14A9" w:rsidP="00F038F6">
            <w:r>
              <w:t>5</w:t>
            </w:r>
          </w:p>
        </w:tc>
        <w:tc>
          <w:tcPr>
            <w:tcW w:w="1888" w:type="dxa"/>
          </w:tcPr>
          <w:p w14:paraId="68304FDF" w14:textId="77777777" w:rsidR="005D14A9" w:rsidRDefault="005D14A9" w:rsidP="00F038F6">
            <w:r>
              <w:t>Laboratory</w:t>
            </w:r>
          </w:p>
          <w:p w14:paraId="6C636938" w14:textId="1E882641" w:rsidR="005D14A9" w:rsidRDefault="005D14A9" w:rsidP="00F038F6"/>
        </w:tc>
        <w:tc>
          <w:tcPr>
            <w:tcW w:w="4929" w:type="dxa"/>
          </w:tcPr>
          <w:p w14:paraId="49F1212E" w14:textId="77777777" w:rsidR="006A469D" w:rsidRPr="00700A3A" w:rsidRDefault="006A469D" w:rsidP="00700A3A">
            <w:pPr>
              <w:autoSpaceDE w:val="0"/>
              <w:autoSpaceDN w:val="0"/>
              <w:adjustRightInd w:val="0"/>
              <w:jc w:val="both"/>
              <w:rPr>
                <w:bCs/>
              </w:rPr>
            </w:pPr>
            <w:r w:rsidRPr="00700A3A">
              <w:rPr>
                <w:b/>
              </w:rPr>
              <w:t xml:space="preserve">Laboratory Module </w:t>
            </w:r>
            <w:r w:rsidRPr="00700A3A">
              <w:rPr>
                <w:b/>
              </w:rPr>
              <w:t>A</w:t>
            </w:r>
            <w:r w:rsidRPr="00700A3A">
              <w:rPr>
                <w:b/>
              </w:rPr>
              <w:t>:</w:t>
            </w:r>
            <w:r w:rsidRPr="00700A3A">
              <w:rPr>
                <w:bCs/>
              </w:rPr>
              <w:t xml:space="preserve"> Qua</w:t>
            </w:r>
            <w:r w:rsidRPr="00700A3A">
              <w:rPr>
                <w:bCs/>
              </w:rPr>
              <w:t>litative</w:t>
            </w:r>
            <w:r w:rsidRPr="00700A3A">
              <w:rPr>
                <w:bCs/>
              </w:rPr>
              <w:t xml:space="preserve"> Analysis </w:t>
            </w:r>
          </w:p>
          <w:p w14:paraId="145CA8F0" w14:textId="72F78606" w:rsidR="006A469D" w:rsidRDefault="006A469D" w:rsidP="006A469D">
            <w:pPr>
              <w:pStyle w:val="ListParagraph"/>
              <w:autoSpaceDE w:val="0"/>
              <w:autoSpaceDN w:val="0"/>
              <w:adjustRightInd w:val="0"/>
              <w:jc w:val="both"/>
              <w:rPr>
                <w:bCs/>
              </w:rPr>
            </w:pPr>
          </w:p>
          <w:p w14:paraId="3CC88CD8" w14:textId="4450B08F" w:rsidR="005D14A9" w:rsidRPr="00700A3A" w:rsidRDefault="0006658C" w:rsidP="00F038F6">
            <w:pPr>
              <w:pStyle w:val="ListParagraph"/>
              <w:numPr>
                <w:ilvl w:val="0"/>
                <w:numId w:val="19"/>
              </w:numPr>
              <w:autoSpaceDE w:val="0"/>
              <w:autoSpaceDN w:val="0"/>
              <w:adjustRightInd w:val="0"/>
              <w:jc w:val="both"/>
              <w:rPr>
                <w:bCs/>
              </w:rPr>
            </w:pPr>
            <w:r w:rsidRPr="0006658C">
              <w:rPr>
                <w:bCs/>
              </w:rPr>
              <w:t>Identification of Group-1 &amp; Group-2 metal ions</w:t>
            </w:r>
            <w:r>
              <w:rPr>
                <w:bCs/>
              </w:rPr>
              <w:t xml:space="preserve"> by </w:t>
            </w:r>
            <w:r w:rsidRPr="0006658C">
              <w:rPr>
                <w:bCs/>
              </w:rPr>
              <w:t>Flame Test.</w:t>
            </w:r>
          </w:p>
        </w:tc>
        <w:tc>
          <w:tcPr>
            <w:tcW w:w="2352" w:type="dxa"/>
            <w:vMerge w:val="restart"/>
          </w:tcPr>
          <w:p w14:paraId="74D00BEA" w14:textId="06B50B2D" w:rsidR="005D14A9" w:rsidRDefault="003A02E8" w:rsidP="0006658C">
            <w:r>
              <w:t xml:space="preserve">Practical experience </w:t>
            </w:r>
            <w:proofErr w:type="gramStart"/>
            <w:r>
              <w:t xml:space="preserve">of  </w:t>
            </w:r>
            <w:r w:rsidRPr="005D14A9">
              <w:t>identification</w:t>
            </w:r>
            <w:proofErr w:type="gramEnd"/>
            <w:r>
              <w:t xml:space="preserve"> of cations and anions</w:t>
            </w:r>
            <w:r w:rsidRPr="005D14A9">
              <w:t xml:space="preserve"> in the laboratory will increase students' confidence and skills and enable them to develop themselves as laboratory experts for </w:t>
            </w:r>
            <w:r>
              <w:t xml:space="preserve">their respective field of work </w:t>
            </w:r>
            <w:r w:rsidRPr="005D14A9">
              <w:t>.</w:t>
            </w:r>
          </w:p>
        </w:tc>
      </w:tr>
      <w:tr w:rsidR="005D14A9" w14:paraId="5D2A219A" w14:textId="77777777" w:rsidTr="00700A3A">
        <w:trPr>
          <w:gridAfter w:val="1"/>
          <w:wAfter w:w="4308" w:type="dxa"/>
          <w:trHeight w:val="989"/>
        </w:trPr>
        <w:tc>
          <w:tcPr>
            <w:tcW w:w="743" w:type="dxa"/>
          </w:tcPr>
          <w:p w14:paraId="1F557E4D" w14:textId="3AC56940" w:rsidR="005D14A9" w:rsidRDefault="005D14A9" w:rsidP="00F038F6">
            <w:r>
              <w:t>6</w:t>
            </w:r>
          </w:p>
        </w:tc>
        <w:tc>
          <w:tcPr>
            <w:tcW w:w="1888" w:type="dxa"/>
          </w:tcPr>
          <w:p w14:paraId="2DDB0240" w14:textId="5199BB96" w:rsidR="005D14A9" w:rsidRDefault="005D14A9" w:rsidP="00F038F6">
            <w:r>
              <w:t>Laboratory</w:t>
            </w:r>
          </w:p>
        </w:tc>
        <w:tc>
          <w:tcPr>
            <w:tcW w:w="4929" w:type="dxa"/>
          </w:tcPr>
          <w:p w14:paraId="45F22685" w14:textId="1DD93CFC" w:rsidR="005D14A9" w:rsidRDefault="0006658C" w:rsidP="00700A3A">
            <w:pPr>
              <w:pStyle w:val="ListParagraph"/>
              <w:numPr>
                <w:ilvl w:val="0"/>
                <w:numId w:val="19"/>
              </w:numPr>
              <w:autoSpaceDE w:val="0"/>
              <w:autoSpaceDN w:val="0"/>
              <w:adjustRightInd w:val="0"/>
              <w:jc w:val="both"/>
            </w:pPr>
            <w:r w:rsidRPr="0006658C">
              <w:rPr>
                <w:bCs/>
                <w:lang w:val="en-MY"/>
              </w:rPr>
              <w:t>Identification of other cations with NaOH, &amp; NH</w:t>
            </w:r>
            <w:r w:rsidRPr="0006658C">
              <w:rPr>
                <w:bCs/>
                <w:vertAlign w:val="subscript"/>
                <w:lang w:val="en-MY"/>
              </w:rPr>
              <w:t>4</w:t>
            </w:r>
            <w:r w:rsidRPr="0006658C">
              <w:rPr>
                <w:bCs/>
                <w:lang w:val="en-MY"/>
              </w:rPr>
              <w:t xml:space="preserve">OH solutions </w:t>
            </w:r>
            <w:r>
              <w:t>(</w:t>
            </w:r>
            <w:r w:rsidRPr="0006658C">
              <w:rPr>
                <w:bCs/>
                <w:lang w:val="en-MY"/>
              </w:rPr>
              <w:t>Fe²⁺, Fe</w:t>
            </w:r>
            <w:r w:rsidRPr="0006658C">
              <w:rPr>
                <w:bCs/>
                <w:vertAlign w:val="superscript"/>
                <w:lang w:val="en-MY"/>
              </w:rPr>
              <w:t>3</w:t>
            </w:r>
            <w:r w:rsidRPr="0006658C">
              <w:rPr>
                <w:bCs/>
                <w:lang w:val="en-MY"/>
              </w:rPr>
              <w:t>⁺, Cu²⁺, Cr</w:t>
            </w:r>
            <w:r w:rsidRPr="0006658C">
              <w:rPr>
                <w:bCs/>
                <w:vertAlign w:val="superscript"/>
                <w:lang w:val="en-MY"/>
              </w:rPr>
              <w:t>3</w:t>
            </w:r>
            <w:r w:rsidRPr="0006658C">
              <w:rPr>
                <w:bCs/>
                <w:lang w:val="en-MY"/>
              </w:rPr>
              <w:t>⁺, Ca²⁺, Pb²⁺, Zn²⁺, Al</w:t>
            </w:r>
            <w:r w:rsidRPr="0006658C">
              <w:rPr>
                <w:bCs/>
                <w:vertAlign w:val="superscript"/>
                <w:lang w:val="en-MY"/>
              </w:rPr>
              <w:t>3</w:t>
            </w:r>
            <w:r w:rsidRPr="0006658C">
              <w:rPr>
                <w:bCs/>
                <w:lang w:val="en-MY"/>
              </w:rPr>
              <w:t>⁺, NH4</w:t>
            </w:r>
            <w:r w:rsidRPr="0006658C">
              <w:rPr>
                <w:bCs/>
                <w:vertAlign w:val="superscript"/>
                <w:lang w:val="en-MY"/>
              </w:rPr>
              <w:t>+</w:t>
            </w:r>
            <w:r w:rsidRPr="0006658C">
              <w:rPr>
                <w:bCs/>
                <w:lang w:val="en-MY"/>
              </w:rPr>
              <w:t>)</w:t>
            </w:r>
            <w:r w:rsidRPr="0006658C">
              <w:rPr>
                <w:bCs/>
                <w:lang w:val="en-MY"/>
              </w:rPr>
              <w:t>.</w:t>
            </w:r>
          </w:p>
        </w:tc>
        <w:tc>
          <w:tcPr>
            <w:tcW w:w="2352" w:type="dxa"/>
            <w:vMerge/>
          </w:tcPr>
          <w:p w14:paraId="75BC8AEA" w14:textId="77777777" w:rsidR="005D14A9" w:rsidRDefault="005D14A9" w:rsidP="00F038F6"/>
        </w:tc>
      </w:tr>
      <w:tr w:rsidR="005D14A9" w14:paraId="29DD9AFC" w14:textId="77777777" w:rsidTr="00700A3A">
        <w:trPr>
          <w:gridAfter w:val="1"/>
          <w:wAfter w:w="4308" w:type="dxa"/>
          <w:trHeight w:val="1061"/>
        </w:trPr>
        <w:tc>
          <w:tcPr>
            <w:tcW w:w="743" w:type="dxa"/>
          </w:tcPr>
          <w:p w14:paraId="3457EEAF" w14:textId="4263939E" w:rsidR="005D14A9" w:rsidRDefault="005D14A9" w:rsidP="00F038F6">
            <w:r>
              <w:t>7</w:t>
            </w:r>
          </w:p>
        </w:tc>
        <w:tc>
          <w:tcPr>
            <w:tcW w:w="1888" w:type="dxa"/>
          </w:tcPr>
          <w:p w14:paraId="2C6C6BF8" w14:textId="3536E000" w:rsidR="005D14A9" w:rsidRDefault="005D14A9" w:rsidP="00F038F6">
            <w:r>
              <w:t>Laboratory</w:t>
            </w:r>
          </w:p>
        </w:tc>
        <w:tc>
          <w:tcPr>
            <w:tcW w:w="4929" w:type="dxa"/>
          </w:tcPr>
          <w:p w14:paraId="5676CC01" w14:textId="751ACB3E" w:rsidR="005D14A9" w:rsidRPr="00700A3A" w:rsidRDefault="0006658C" w:rsidP="00700A3A">
            <w:pPr>
              <w:pStyle w:val="ListParagraph"/>
              <w:numPr>
                <w:ilvl w:val="0"/>
                <w:numId w:val="19"/>
              </w:numPr>
              <w:autoSpaceDE w:val="0"/>
              <w:autoSpaceDN w:val="0"/>
              <w:adjustRightInd w:val="0"/>
              <w:jc w:val="both"/>
              <w:rPr>
                <w:bCs/>
              </w:rPr>
            </w:pPr>
            <w:r>
              <w:rPr>
                <w:bCs/>
              </w:rPr>
              <w:t xml:space="preserve">Identification of </w:t>
            </w:r>
            <w:r>
              <w:rPr>
                <w:bCs/>
              </w:rPr>
              <w:t>Anions (</w:t>
            </w:r>
            <w:r w:rsidRPr="003B2735">
              <w:rPr>
                <w:bCs/>
              </w:rPr>
              <w:t>Cl⁻, Br⁻, I⁻, CO</w:t>
            </w:r>
            <w:r w:rsidRPr="003B2735">
              <w:rPr>
                <w:bCs/>
                <w:vertAlign w:val="subscript"/>
              </w:rPr>
              <w:t>3</w:t>
            </w:r>
            <w:r w:rsidRPr="003B2735">
              <w:rPr>
                <w:bCs/>
                <w:vertAlign w:val="superscript"/>
              </w:rPr>
              <w:t>2</w:t>
            </w:r>
            <w:r w:rsidRPr="003B2735">
              <w:rPr>
                <w:bCs/>
              </w:rPr>
              <w:t>⁻, HCO</w:t>
            </w:r>
            <w:r w:rsidRPr="003B2735">
              <w:rPr>
                <w:bCs/>
                <w:vertAlign w:val="subscript"/>
              </w:rPr>
              <w:t>3</w:t>
            </w:r>
            <w:r w:rsidRPr="003B2735">
              <w:rPr>
                <w:bCs/>
              </w:rPr>
              <w:t>⁻</w:t>
            </w:r>
            <w:r>
              <w:rPr>
                <w:bCs/>
              </w:rPr>
              <w:t>,</w:t>
            </w:r>
            <w:r w:rsidRPr="003B2735">
              <w:rPr>
                <w:bCs/>
              </w:rPr>
              <w:t xml:space="preserve"> NO</w:t>
            </w:r>
            <w:r w:rsidRPr="003B2735">
              <w:rPr>
                <w:bCs/>
                <w:vertAlign w:val="subscript"/>
              </w:rPr>
              <w:t>3</w:t>
            </w:r>
            <w:r w:rsidRPr="003B2735">
              <w:rPr>
                <w:bCs/>
              </w:rPr>
              <w:t>⁻, SO</w:t>
            </w:r>
            <w:r w:rsidRPr="003B2735">
              <w:rPr>
                <w:bCs/>
                <w:vertAlign w:val="subscript"/>
              </w:rPr>
              <w:t>4</w:t>
            </w:r>
            <w:r w:rsidRPr="003B2735">
              <w:rPr>
                <w:bCs/>
              </w:rPr>
              <w:t>²⁻ &amp; SO</w:t>
            </w:r>
            <w:r w:rsidRPr="003B2735">
              <w:rPr>
                <w:bCs/>
                <w:vertAlign w:val="subscript"/>
              </w:rPr>
              <w:t>3</w:t>
            </w:r>
            <w:r w:rsidRPr="003B2735">
              <w:rPr>
                <w:bCs/>
              </w:rPr>
              <w:t>²⁻</w:t>
            </w:r>
            <w:r>
              <w:rPr>
                <w:bCs/>
              </w:rPr>
              <w:t>)</w:t>
            </w:r>
          </w:p>
        </w:tc>
        <w:tc>
          <w:tcPr>
            <w:tcW w:w="2352" w:type="dxa"/>
            <w:vMerge/>
          </w:tcPr>
          <w:p w14:paraId="267D2412" w14:textId="77777777" w:rsidR="005D14A9" w:rsidRDefault="005D14A9" w:rsidP="00F038F6"/>
        </w:tc>
      </w:tr>
      <w:tr w:rsidR="00F245DA" w14:paraId="6D742303" w14:textId="77777777" w:rsidTr="009D7B8C">
        <w:trPr>
          <w:gridAfter w:val="1"/>
          <w:wAfter w:w="4308" w:type="dxa"/>
          <w:trHeight w:val="620"/>
        </w:trPr>
        <w:tc>
          <w:tcPr>
            <w:tcW w:w="743" w:type="dxa"/>
          </w:tcPr>
          <w:p w14:paraId="7201C2D5" w14:textId="1B7020DB" w:rsidR="00F245DA" w:rsidRDefault="00F245DA" w:rsidP="00F038F6">
            <w:r>
              <w:t>8</w:t>
            </w:r>
          </w:p>
        </w:tc>
        <w:tc>
          <w:tcPr>
            <w:tcW w:w="1888" w:type="dxa"/>
          </w:tcPr>
          <w:p w14:paraId="489C4DD4" w14:textId="2EF09769" w:rsidR="00F245DA" w:rsidRDefault="00F245DA" w:rsidP="00F038F6">
            <w:r>
              <w:t>Laboratory</w:t>
            </w:r>
          </w:p>
        </w:tc>
        <w:tc>
          <w:tcPr>
            <w:tcW w:w="4929" w:type="dxa"/>
          </w:tcPr>
          <w:p w14:paraId="2F629FF3" w14:textId="3D40D550" w:rsidR="00F245DA" w:rsidRDefault="00471AE5" w:rsidP="00F038F6">
            <w:r>
              <w:t xml:space="preserve">                Mid-Term Examination </w:t>
            </w:r>
          </w:p>
        </w:tc>
        <w:tc>
          <w:tcPr>
            <w:tcW w:w="2352" w:type="dxa"/>
          </w:tcPr>
          <w:p w14:paraId="759EF043" w14:textId="77777777" w:rsidR="00F245DA" w:rsidRDefault="00F245DA" w:rsidP="00F038F6"/>
        </w:tc>
      </w:tr>
      <w:tr w:rsidR="001A1CCA" w14:paraId="434786AE" w14:textId="77777777" w:rsidTr="00E5344E">
        <w:trPr>
          <w:gridAfter w:val="1"/>
          <w:wAfter w:w="4308" w:type="dxa"/>
          <w:trHeight w:val="1311"/>
        </w:trPr>
        <w:tc>
          <w:tcPr>
            <w:tcW w:w="743" w:type="dxa"/>
          </w:tcPr>
          <w:p w14:paraId="704F0F5B" w14:textId="2A06973B" w:rsidR="001A1CCA" w:rsidRDefault="001A1CCA" w:rsidP="001A1CCA">
            <w:r>
              <w:t>9</w:t>
            </w:r>
          </w:p>
        </w:tc>
        <w:tc>
          <w:tcPr>
            <w:tcW w:w="1888" w:type="dxa"/>
          </w:tcPr>
          <w:p w14:paraId="240D082D" w14:textId="10F37084" w:rsidR="001A1CCA" w:rsidRDefault="001A1CCA" w:rsidP="001A1CCA">
            <w:r>
              <w:t>Laboratory</w:t>
            </w:r>
          </w:p>
        </w:tc>
        <w:tc>
          <w:tcPr>
            <w:tcW w:w="4929" w:type="dxa"/>
          </w:tcPr>
          <w:p w14:paraId="2834A59C" w14:textId="071B36B3" w:rsidR="001A1CCA" w:rsidRPr="003B2735" w:rsidRDefault="006A469D" w:rsidP="001A1CCA">
            <w:pPr>
              <w:rPr>
                <w:bCs/>
              </w:rPr>
            </w:pPr>
            <w:r>
              <w:rPr>
                <w:b/>
              </w:rPr>
              <w:t xml:space="preserve">           </w:t>
            </w:r>
            <w:r w:rsidR="001A1CCA" w:rsidRPr="003B2735">
              <w:rPr>
                <w:b/>
              </w:rPr>
              <w:t>Laboratory Module B:</w:t>
            </w:r>
            <w:r w:rsidR="001A1CCA" w:rsidRPr="003B2735">
              <w:rPr>
                <w:bCs/>
              </w:rPr>
              <w:t xml:space="preserve"> Quantitative Analysi</w:t>
            </w:r>
            <w:r>
              <w:rPr>
                <w:bCs/>
              </w:rPr>
              <w:t xml:space="preserve">s          </w:t>
            </w:r>
            <w:proofErr w:type="gramStart"/>
            <w:r>
              <w:rPr>
                <w:bCs/>
              </w:rPr>
              <w:t xml:space="preserve">   </w:t>
            </w:r>
            <w:r w:rsidR="001A1CCA" w:rsidRPr="003B2735">
              <w:rPr>
                <w:bCs/>
              </w:rPr>
              <w:t>(</w:t>
            </w:r>
            <w:proofErr w:type="gramEnd"/>
            <w:r w:rsidR="001A1CCA" w:rsidRPr="003B2735">
              <w:rPr>
                <w:bCs/>
              </w:rPr>
              <w:t>Titrimetric Analysis)</w:t>
            </w:r>
          </w:p>
          <w:p w14:paraId="06C2169C" w14:textId="379F635B" w:rsidR="001A1CCA" w:rsidRPr="003B2735" w:rsidRDefault="001A1CCA" w:rsidP="001A1CCA">
            <w:pPr>
              <w:autoSpaceDE w:val="0"/>
              <w:autoSpaceDN w:val="0"/>
              <w:adjustRightInd w:val="0"/>
              <w:jc w:val="both"/>
              <w:rPr>
                <w:bCs/>
              </w:rPr>
            </w:pPr>
          </w:p>
          <w:p w14:paraId="5568063C" w14:textId="0FFE457B" w:rsidR="001A1CCA" w:rsidRPr="001A1CCA" w:rsidRDefault="001A1CCA" w:rsidP="001A1CCA">
            <w:pPr>
              <w:pStyle w:val="ListParagraph"/>
              <w:numPr>
                <w:ilvl w:val="0"/>
                <w:numId w:val="17"/>
              </w:numPr>
              <w:autoSpaceDE w:val="0"/>
              <w:autoSpaceDN w:val="0"/>
              <w:adjustRightInd w:val="0"/>
              <w:jc w:val="both"/>
              <w:rPr>
                <w:bCs/>
              </w:rPr>
            </w:pPr>
            <w:r w:rsidRPr="001A1CCA">
              <w:rPr>
                <w:bCs/>
              </w:rPr>
              <w:t>Standardization of NaOH solution with standard oxalic acid solution.</w:t>
            </w:r>
          </w:p>
          <w:p w14:paraId="12C40497" w14:textId="7D668F87" w:rsidR="001A1CCA" w:rsidRPr="001A1CCA" w:rsidRDefault="001A1CCA" w:rsidP="001A1CCA">
            <w:pPr>
              <w:pStyle w:val="ListParagraph"/>
              <w:numPr>
                <w:ilvl w:val="0"/>
                <w:numId w:val="17"/>
              </w:numPr>
              <w:autoSpaceDE w:val="0"/>
              <w:autoSpaceDN w:val="0"/>
              <w:adjustRightInd w:val="0"/>
              <w:jc w:val="both"/>
              <w:rPr>
                <w:bCs/>
              </w:rPr>
            </w:pPr>
            <w:r w:rsidRPr="001A1CCA">
              <w:rPr>
                <w:bCs/>
              </w:rPr>
              <w:t>Standardization of HCl solution with standard NaOH solution.</w:t>
            </w:r>
          </w:p>
          <w:p w14:paraId="73954CF1" w14:textId="756ACC46" w:rsidR="001A1CCA" w:rsidRPr="001A1CCA" w:rsidRDefault="001A1CCA" w:rsidP="001A1CCA">
            <w:pPr>
              <w:pStyle w:val="ListParagraph"/>
              <w:numPr>
                <w:ilvl w:val="0"/>
                <w:numId w:val="17"/>
              </w:numPr>
              <w:autoSpaceDE w:val="0"/>
              <w:autoSpaceDN w:val="0"/>
              <w:adjustRightInd w:val="0"/>
              <w:jc w:val="both"/>
              <w:rPr>
                <w:bCs/>
              </w:rPr>
            </w:pPr>
            <w:r w:rsidRPr="001A1CCA">
              <w:rPr>
                <w:bCs/>
                <w:lang w:val="en-MY"/>
              </w:rPr>
              <w:t>Standardization of Sodium thiosulphate solution with standard Potassium dichromate solution.</w:t>
            </w:r>
          </w:p>
          <w:p w14:paraId="22FF7267" w14:textId="1C1BF3E3" w:rsidR="001A1CCA" w:rsidRDefault="001A1CCA" w:rsidP="001A1CCA">
            <w:pPr>
              <w:pStyle w:val="ListParagraph"/>
              <w:numPr>
                <w:ilvl w:val="0"/>
                <w:numId w:val="17"/>
              </w:numPr>
            </w:pPr>
            <w:r w:rsidRPr="001A1CCA">
              <w:rPr>
                <w:bCs/>
              </w:rPr>
              <w:t>Estimation of Copper contained in a supplied solution by Iodometric method.</w:t>
            </w:r>
          </w:p>
        </w:tc>
        <w:tc>
          <w:tcPr>
            <w:tcW w:w="2352" w:type="dxa"/>
          </w:tcPr>
          <w:p w14:paraId="5E345384" w14:textId="77777777" w:rsidR="001A1CCA" w:rsidRDefault="001A1CCA" w:rsidP="006A469D"/>
          <w:p w14:paraId="0F3AF044" w14:textId="4327591D" w:rsidR="001A1CCA" w:rsidRDefault="001A1CCA" w:rsidP="001A1CCA">
            <w:pPr>
              <w:jc w:val="center"/>
            </w:pPr>
            <w:r w:rsidRPr="006F1805">
              <w:t xml:space="preserve">Students will be able to prepare </w:t>
            </w:r>
            <w:r w:rsidR="003A02E8">
              <w:t>any kind of standard solution</w:t>
            </w:r>
            <w:r w:rsidRPr="006F1805">
              <w:t xml:space="preserve"> and </w:t>
            </w:r>
            <w:r w:rsidR="003A02E8">
              <w:t>can calculate the unknown concentration of solution by titrimetric method</w:t>
            </w:r>
            <w:r w:rsidR="00BA7983">
              <w:t>.</w:t>
            </w:r>
          </w:p>
          <w:p w14:paraId="5F9F06CC" w14:textId="77777777" w:rsidR="00BA7983" w:rsidRDefault="00BA7983" w:rsidP="001A1CCA">
            <w:pPr>
              <w:jc w:val="center"/>
            </w:pPr>
          </w:p>
          <w:p w14:paraId="62DD7D08" w14:textId="77777777" w:rsidR="00BA7983" w:rsidRDefault="00BA7983" w:rsidP="001A1CCA">
            <w:pPr>
              <w:jc w:val="center"/>
            </w:pPr>
          </w:p>
          <w:p w14:paraId="6FCB5492" w14:textId="77777777" w:rsidR="00BA7983" w:rsidRDefault="00BA7983" w:rsidP="001A1CCA">
            <w:pPr>
              <w:jc w:val="center"/>
            </w:pPr>
          </w:p>
          <w:p w14:paraId="3CD49AE8" w14:textId="684309F9" w:rsidR="00BA7983" w:rsidRDefault="00BA7983" w:rsidP="001A1CCA">
            <w:pPr>
              <w:jc w:val="center"/>
            </w:pPr>
          </w:p>
        </w:tc>
      </w:tr>
      <w:tr w:rsidR="001A1CCA" w14:paraId="3085DCB8" w14:textId="77777777" w:rsidTr="00E5344E">
        <w:trPr>
          <w:gridAfter w:val="1"/>
          <w:wAfter w:w="4308" w:type="dxa"/>
          <w:trHeight w:val="1311"/>
        </w:trPr>
        <w:tc>
          <w:tcPr>
            <w:tcW w:w="743" w:type="dxa"/>
          </w:tcPr>
          <w:p w14:paraId="080832E6" w14:textId="77777777" w:rsidR="001A1CCA" w:rsidRDefault="001A1CCA" w:rsidP="001A1CCA"/>
          <w:p w14:paraId="67E5F24C" w14:textId="17659F21" w:rsidR="001A1CCA" w:rsidRDefault="001A1CCA" w:rsidP="001A1CCA">
            <w:r>
              <w:t>10</w:t>
            </w:r>
          </w:p>
        </w:tc>
        <w:tc>
          <w:tcPr>
            <w:tcW w:w="1888" w:type="dxa"/>
          </w:tcPr>
          <w:p w14:paraId="7B8D28F2" w14:textId="3EDCC0F4" w:rsidR="001A1CCA" w:rsidRDefault="001A1CCA" w:rsidP="001A1CCA">
            <w:r>
              <w:t>Laboratory</w:t>
            </w:r>
          </w:p>
        </w:tc>
        <w:tc>
          <w:tcPr>
            <w:tcW w:w="4929" w:type="dxa"/>
          </w:tcPr>
          <w:p w14:paraId="28BE718C" w14:textId="06BA2B11" w:rsidR="00785E40" w:rsidRPr="006A469D" w:rsidRDefault="00785E40" w:rsidP="006A469D">
            <w:pPr>
              <w:pStyle w:val="ListParagraph"/>
              <w:numPr>
                <w:ilvl w:val="0"/>
                <w:numId w:val="17"/>
              </w:numPr>
              <w:autoSpaceDE w:val="0"/>
              <w:autoSpaceDN w:val="0"/>
              <w:adjustRightInd w:val="0"/>
              <w:jc w:val="both"/>
              <w:rPr>
                <w:bCs/>
              </w:rPr>
            </w:pPr>
            <w:r w:rsidRPr="006A469D">
              <w:rPr>
                <w:bCs/>
              </w:rPr>
              <w:t xml:space="preserve">Quantitative exercise to find the molar enthalpy change when Ammonium chloride dissolves in water.  </w:t>
            </w:r>
          </w:p>
          <w:p w14:paraId="7168B5DC" w14:textId="12A35F01" w:rsidR="001A1CCA" w:rsidRPr="00BA72E0" w:rsidRDefault="00785E40" w:rsidP="00BA72E0">
            <w:pPr>
              <w:pStyle w:val="ListParagraph"/>
              <w:numPr>
                <w:ilvl w:val="0"/>
                <w:numId w:val="17"/>
              </w:numPr>
              <w:autoSpaceDE w:val="0"/>
              <w:autoSpaceDN w:val="0"/>
              <w:adjustRightInd w:val="0"/>
              <w:jc w:val="both"/>
              <w:rPr>
                <w:bCs/>
              </w:rPr>
            </w:pPr>
            <w:r w:rsidRPr="00785E40">
              <w:rPr>
                <w:bCs/>
              </w:rPr>
              <w:t>Quantitative exercise to find the molar enthalpy change when Sodium thiosulphate dissolves in water</w:t>
            </w:r>
          </w:p>
        </w:tc>
        <w:tc>
          <w:tcPr>
            <w:tcW w:w="2352" w:type="dxa"/>
          </w:tcPr>
          <w:p w14:paraId="5915B321" w14:textId="77777777" w:rsidR="001A1CCA" w:rsidRDefault="00800134" w:rsidP="001A1CCA">
            <w:pPr>
              <w:jc w:val="center"/>
            </w:pPr>
            <w:r w:rsidRPr="006F1805">
              <w:t xml:space="preserve">Students will be able to </w:t>
            </w:r>
            <w:r>
              <w:t>calculate the enthalpy change of any exothermic or endothermic reaction.</w:t>
            </w:r>
          </w:p>
        </w:tc>
      </w:tr>
      <w:tr w:rsidR="001A1CCA" w14:paraId="05F1B5E0" w14:textId="77777777" w:rsidTr="009D7B8C">
        <w:trPr>
          <w:gridAfter w:val="1"/>
          <w:wAfter w:w="4308" w:type="dxa"/>
          <w:trHeight w:val="557"/>
        </w:trPr>
        <w:tc>
          <w:tcPr>
            <w:tcW w:w="743" w:type="dxa"/>
          </w:tcPr>
          <w:p w14:paraId="330F0EA6" w14:textId="105EBEBA" w:rsidR="001A1CCA" w:rsidRDefault="001A1CCA" w:rsidP="001A1CCA">
            <w:r>
              <w:t>11</w:t>
            </w:r>
          </w:p>
        </w:tc>
        <w:tc>
          <w:tcPr>
            <w:tcW w:w="1888" w:type="dxa"/>
          </w:tcPr>
          <w:p w14:paraId="63B1B910" w14:textId="48B3F066" w:rsidR="001A1CCA" w:rsidRDefault="001A1CCA" w:rsidP="001A1CCA">
            <w:r>
              <w:t>Laboratory</w:t>
            </w:r>
          </w:p>
        </w:tc>
        <w:tc>
          <w:tcPr>
            <w:tcW w:w="4929" w:type="dxa"/>
          </w:tcPr>
          <w:p w14:paraId="341594F2" w14:textId="0E281108" w:rsidR="001A1CCA" w:rsidRDefault="001A1CCA" w:rsidP="001A1CCA">
            <w:r>
              <w:t xml:space="preserve">                             Final Examination</w:t>
            </w:r>
          </w:p>
        </w:tc>
        <w:tc>
          <w:tcPr>
            <w:tcW w:w="2352" w:type="dxa"/>
          </w:tcPr>
          <w:p w14:paraId="3AFFE49A" w14:textId="77777777" w:rsidR="001A1CCA" w:rsidRDefault="001A1CCA" w:rsidP="001A1CCA"/>
        </w:tc>
      </w:tr>
    </w:tbl>
    <w:p w14:paraId="05923708" w14:textId="72BDF175" w:rsidR="00CE3A10" w:rsidRDefault="00CE3A10"/>
    <w:p w14:paraId="70728E48" w14:textId="32DC2076" w:rsidR="003308D4" w:rsidRDefault="003308D4"/>
    <w:sectPr w:rsidR="00330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6805"/>
    <w:multiLevelType w:val="hybridMultilevel"/>
    <w:tmpl w:val="458EAF0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1" w15:restartNumberingAfterBreak="0">
    <w:nsid w:val="0C041446"/>
    <w:multiLevelType w:val="hybridMultilevel"/>
    <w:tmpl w:val="5F745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D189A"/>
    <w:multiLevelType w:val="hybridMultilevel"/>
    <w:tmpl w:val="9E281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2F2A56"/>
    <w:multiLevelType w:val="hybridMultilevel"/>
    <w:tmpl w:val="18889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2C3142"/>
    <w:multiLevelType w:val="hybridMultilevel"/>
    <w:tmpl w:val="C28AAC86"/>
    <w:lvl w:ilvl="0" w:tplc="4BB49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D03ACD"/>
    <w:multiLevelType w:val="hybridMultilevel"/>
    <w:tmpl w:val="A8147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9A67E8"/>
    <w:multiLevelType w:val="hybridMultilevel"/>
    <w:tmpl w:val="4CDAB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3A60F8"/>
    <w:multiLevelType w:val="hybridMultilevel"/>
    <w:tmpl w:val="B1C41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F65F9F"/>
    <w:multiLevelType w:val="hybridMultilevel"/>
    <w:tmpl w:val="EDA46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336F8F"/>
    <w:multiLevelType w:val="hybridMultilevel"/>
    <w:tmpl w:val="0A420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6319A"/>
    <w:multiLevelType w:val="hybridMultilevel"/>
    <w:tmpl w:val="4A4EF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A3374E"/>
    <w:multiLevelType w:val="hybridMultilevel"/>
    <w:tmpl w:val="56A46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505E17"/>
    <w:multiLevelType w:val="hybridMultilevel"/>
    <w:tmpl w:val="FE245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82724E"/>
    <w:multiLevelType w:val="hybridMultilevel"/>
    <w:tmpl w:val="2FE26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3B58EA"/>
    <w:multiLevelType w:val="hybridMultilevel"/>
    <w:tmpl w:val="5F745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AD7B10"/>
    <w:multiLevelType w:val="hybridMultilevel"/>
    <w:tmpl w:val="7EE2342C"/>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6" w15:restartNumberingAfterBreak="0">
    <w:nsid w:val="72E2145E"/>
    <w:multiLevelType w:val="hybridMultilevel"/>
    <w:tmpl w:val="45ECD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B25580"/>
    <w:multiLevelType w:val="hybridMultilevel"/>
    <w:tmpl w:val="5A92F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F40A74"/>
    <w:multiLevelType w:val="hybridMultilevel"/>
    <w:tmpl w:val="33886132"/>
    <w:lvl w:ilvl="0" w:tplc="48E26B48">
      <w:start w:val="1"/>
      <w:numFmt w:val="decimal"/>
      <w:lvlText w:val="%1."/>
      <w:lvlJc w:val="left"/>
      <w:pPr>
        <w:ind w:left="5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6"/>
  </w:num>
  <w:num w:numId="3">
    <w:abstractNumId w:val="2"/>
  </w:num>
  <w:num w:numId="4">
    <w:abstractNumId w:val="17"/>
  </w:num>
  <w:num w:numId="5">
    <w:abstractNumId w:val="0"/>
  </w:num>
  <w:num w:numId="6">
    <w:abstractNumId w:val="14"/>
  </w:num>
  <w:num w:numId="7">
    <w:abstractNumId w:val="10"/>
  </w:num>
  <w:num w:numId="8">
    <w:abstractNumId w:val="11"/>
  </w:num>
  <w:num w:numId="9">
    <w:abstractNumId w:val="1"/>
  </w:num>
  <w:num w:numId="10">
    <w:abstractNumId w:val="13"/>
  </w:num>
  <w:num w:numId="11">
    <w:abstractNumId w:val="7"/>
  </w:num>
  <w:num w:numId="12">
    <w:abstractNumId w:val="6"/>
  </w:num>
  <w:num w:numId="13">
    <w:abstractNumId w:val="8"/>
  </w:num>
  <w:num w:numId="14">
    <w:abstractNumId w:val="5"/>
  </w:num>
  <w:num w:numId="15">
    <w:abstractNumId w:val="4"/>
  </w:num>
  <w:num w:numId="16">
    <w:abstractNumId w:val="12"/>
  </w:num>
  <w:num w:numId="17">
    <w:abstractNumId w:val="9"/>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8D4"/>
    <w:rsid w:val="00001BB4"/>
    <w:rsid w:val="00053807"/>
    <w:rsid w:val="0006658C"/>
    <w:rsid w:val="00117DB3"/>
    <w:rsid w:val="00132733"/>
    <w:rsid w:val="00157B16"/>
    <w:rsid w:val="001A1CCA"/>
    <w:rsid w:val="00201F4E"/>
    <w:rsid w:val="002446B8"/>
    <w:rsid w:val="00265A3F"/>
    <w:rsid w:val="002A4EB5"/>
    <w:rsid w:val="002B1027"/>
    <w:rsid w:val="002F4BCF"/>
    <w:rsid w:val="003308D4"/>
    <w:rsid w:val="003A02E8"/>
    <w:rsid w:val="00471AE5"/>
    <w:rsid w:val="004F0664"/>
    <w:rsid w:val="00580743"/>
    <w:rsid w:val="005C6676"/>
    <w:rsid w:val="005D14A9"/>
    <w:rsid w:val="006A469D"/>
    <w:rsid w:val="006F1805"/>
    <w:rsid w:val="00700A3A"/>
    <w:rsid w:val="007016D0"/>
    <w:rsid w:val="00717D7A"/>
    <w:rsid w:val="007244DA"/>
    <w:rsid w:val="00785E40"/>
    <w:rsid w:val="00800134"/>
    <w:rsid w:val="00917B58"/>
    <w:rsid w:val="009D7B8C"/>
    <w:rsid w:val="00A92F45"/>
    <w:rsid w:val="00BA72E0"/>
    <w:rsid w:val="00BA7983"/>
    <w:rsid w:val="00C30DB2"/>
    <w:rsid w:val="00C4769D"/>
    <w:rsid w:val="00CE3A10"/>
    <w:rsid w:val="00E5344E"/>
    <w:rsid w:val="00F038F6"/>
    <w:rsid w:val="00F245DA"/>
    <w:rsid w:val="00F73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2813F"/>
  <w15:chartTrackingRefBased/>
  <w15:docId w15:val="{D3AC543D-5286-41BF-B3A3-989208D2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2A4E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B1027"/>
    <w:pPr>
      <w:ind w:left="720"/>
      <w:contextualSpacing/>
    </w:pPr>
  </w:style>
  <w:style w:type="table" w:customStyle="1" w:styleId="TableGrid12">
    <w:name w:val="Table Grid12"/>
    <w:basedOn w:val="TableNormal"/>
    <w:next w:val="TableGrid"/>
    <w:uiPriority w:val="59"/>
    <w:rsid w:val="002F4B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Farzana Rahman</dc:creator>
  <cp:keywords/>
  <dc:description/>
  <cp:lastModifiedBy>Farzana Rahman</cp:lastModifiedBy>
  <cp:revision>29</cp:revision>
  <dcterms:created xsi:type="dcterms:W3CDTF">2021-10-03T04:10:00Z</dcterms:created>
  <dcterms:modified xsi:type="dcterms:W3CDTF">2021-10-05T08:01:00Z</dcterms:modified>
</cp:coreProperties>
</file>