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7C78" w14:textId="065E0209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A81ECE">
        <w:rPr>
          <w:rFonts w:ascii="Times New Roman" w:hAnsi="Times New Roman" w:cs="Times New Roman"/>
          <w:sz w:val="28"/>
          <w:szCs w:val="28"/>
          <w:highlight w:val="yellow"/>
        </w:rPr>
        <w:t>ultiple-choice questions (MCQs)</w:t>
      </w:r>
      <w:r w:rsidRPr="00A81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BCBDA" w14:textId="3A02786E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What is the primary legal definition of real estate?</w:t>
      </w:r>
    </w:p>
    <w:p w14:paraId="11D8563F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Personal assets such as furniture and fixtures</w:t>
      </w:r>
    </w:p>
    <w:p w14:paraId="33715F84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Land and anything on it, including buildings</w:t>
      </w:r>
    </w:p>
    <w:p w14:paraId="1F6A2060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Transactions related to financial assets</w:t>
      </w:r>
    </w:p>
    <w:p w14:paraId="5D8FE7B6" w14:textId="6BFECBEA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Intellectual property and patents</w:t>
      </w:r>
    </w:p>
    <w:p w14:paraId="74B90F99" w14:textId="40C97C62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Which act governs the real estate sector in Bangladesh?</w:t>
      </w:r>
    </w:p>
    <w:p w14:paraId="7A9862A7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Contract Act, 1872</w:t>
      </w:r>
    </w:p>
    <w:p w14:paraId="430DAD75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Specific Relief Act, 1877</w:t>
      </w:r>
    </w:p>
    <w:p w14:paraId="7EC44707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Transfer of Property Act, 1882</w:t>
      </w:r>
    </w:p>
    <w:p w14:paraId="4AE5DC77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Real Estate Development and Management Act, 2010</w:t>
      </w:r>
    </w:p>
    <w:p w14:paraId="6F47A40F" w14:textId="77777777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6DC3B2" w14:textId="2DBCCD49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What documents are required for the registration of Real Estate Developers in Bangladesh?</w:t>
      </w:r>
    </w:p>
    <w:p w14:paraId="4FF93B09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Building permit, construction plans, ownership deed</w:t>
      </w:r>
    </w:p>
    <w:p w14:paraId="275AAB07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Tax Identification Number (TIN), VAT Registration Number, expert details</w:t>
      </w:r>
    </w:p>
    <w:p w14:paraId="5C5FEE74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Furniture inventory, trade license, certificate of occupancy</w:t>
      </w:r>
    </w:p>
    <w:p w14:paraId="674BB9D8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Personal identification documents of the developer</w:t>
      </w:r>
    </w:p>
    <w:p w14:paraId="5F258E46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3ED00878" w14:textId="0A3EB37D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What is the punishment for carrying out development work without proper registration?</w:t>
      </w:r>
    </w:p>
    <w:p w14:paraId="4DE1B2CB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Warning from relevant authorities</w:t>
      </w:r>
    </w:p>
    <w:p w14:paraId="6694EF5C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Fine up to 5 lac taka</w:t>
      </w:r>
    </w:p>
    <w:p w14:paraId="7AAF7F8C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Imprisonment not exceeding 2 years or fine up to 10 lac taka or both</w:t>
      </w:r>
    </w:p>
    <w:p w14:paraId="39BD29FA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Suspension of project activities for a certain period</w:t>
      </w:r>
    </w:p>
    <w:p w14:paraId="29002913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06347BCC" w14:textId="52BF6B01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According to the Real Estate Development and Management Act 2010, when should the owner hand over possession to the purchaser after receiving the purchase amount?</w:t>
      </w:r>
    </w:p>
    <w:p w14:paraId="267DF5F0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Within 6 months</w:t>
      </w:r>
    </w:p>
    <w:p w14:paraId="4950ADD6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Within 1 year</w:t>
      </w:r>
    </w:p>
    <w:p w14:paraId="3729C6AE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Not exceeding three months</w:t>
      </w:r>
    </w:p>
    <w:p w14:paraId="58B7D62E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Within 30 days</w:t>
      </w:r>
    </w:p>
    <w:p w14:paraId="1FA07BCE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6ABA402F" w14:textId="0A32225C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What is the primary responsibility of a qualified real estate lawyer in a real estate transaction?</w:t>
      </w:r>
    </w:p>
    <w:p w14:paraId="063D4DAE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Marketing the property to potential buyers</w:t>
      </w:r>
    </w:p>
    <w:p w14:paraId="78D9B053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Handling property maintenance and repairs</w:t>
      </w:r>
    </w:p>
    <w:p w14:paraId="524E4F1F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Protecting the interests of clients and ensuring legal compliance</w:t>
      </w:r>
    </w:p>
    <w:p w14:paraId="6A262057" w14:textId="28E1D3A9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Providing interior design suggestions for the property</w:t>
      </w:r>
    </w:p>
    <w:p w14:paraId="53B390A2" w14:textId="5EC597D4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Developers are prohibited from changing specific plots or flats without permission from the purchaser according to which section of the Real Estate Development and Management Act 2010?</w:t>
      </w:r>
    </w:p>
    <w:p w14:paraId="2AC06753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Section 6</w:t>
      </w:r>
    </w:p>
    <w:p w14:paraId="3248B824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Section 8</w:t>
      </w:r>
    </w:p>
    <w:p w14:paraId="2ACD0084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Section 9</w:t>
      </w:r>
    </w:p>
    <w:p w14:paraId="3EDE5D14" w14:textId="5F80D1D5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Section 20</w:t>
      </w:r>
    </w:p>
    <w:p w14:paraId="73A5998F" w14:textId="1457E7A8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What is the potential penalty for developers who violate construction rules by not adhering to approved designs?</w:t>
      </w:r>
    </w:p>
    <w:p w14:paraId="3301063A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Warning and project suspension</w:t>
      </w:r>
    </w:p>
    <w:p w14:paraId="49589B8A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Fine up to 5 lac taka</w:t>
      </w:r>
    </w:p>
    <w:p w14:paraId="6753C703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Imprisonment not exceeding 1 year</w:t>
      </w:r>
    </w:p>
    <w:p w14:paraId="14069BAE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Imprisonment not exceeding 3 years or fine up to 20 lac taka or both</w:t>
      </w:r>
    </w:p>
    <w:p w14:paraId="5C8F10AA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777F3B45" w14:textId="50BF2D09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Which of the following acts regulates the registration of buying and selling of Real Estate?</w:t>
      </w:r>
    </w:p>
    <w:p w14:paraId="6711CD63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Specific Relief Act, 1877</w:t>
      </w:r>
    </w:p>
    <w:p w14:paraId="31012A9A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Transfer of Property Act, 1882</w:t>
      </w:r>
    </w:p>
    <w:p w14:paraId="14CC3568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Real Estate Development and Management Act, 2010</w:t>
      </w:r>
    </w:p>
    <w:p w14:paraId="792999FD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Contract Act, 1872</w:t>
      </w:r>
    </w:p>
    <w:p w14:paraId="4C057C7D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0985B1BD" w14:textId="51290665" w:rsidR="00A81ECE" w:rsidRPr="00A81ECE" w:rsidRDefault="00A81ECE" w:rsidP="00A81E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1ECE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A81ECE">
        <w:rPr>
          <w:rFonts w:ascii="Times New Roman" w:hAnsi="Times New Roman" w:cs="Times New Roman"/>
          <w:b/>
          <w:bCs/>
          <w:sz w:val="28"/>
          <w:szCs w:val="28"/>
        </w:rPr>
        <w:t>Developers in Bangladesh must obtain approval for their projects from which relevant authority before entering into agreements with purchasers?</w:t>
      </w:r>
    </w:p>
    <w:p w14:paraId="69004978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a) Ministry of Finance</w:t>
      </w:r>
    </w:p>
    <w:p w14:paraId="4B0F6812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b) Ministry of Commerce</w:t>
      </w:r>
    </w:p>
    <w:p w14:paraId="29184E76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c) Relevant government authority</w:t>
      </w:r>
    </w:p>
    <w:p w14:paraId="2486C921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  <w:r w:rsidRPr="00A81ECE">
        <w:rPr>
          <w:rFonts w:ascii="Times New Roman" w:hAnsi="Times New Roman" w:cs="Times New Roman"/>
          <w:sz w:val="28"/>
          <w:szCs w:val="28"/>
        </w:rPr>
        <w:t>d) Bangladesh Real Estate Association (REHAB)</w:t>
      </w:r>
    </w:p>
    <w:p w14:paraId="61DEBCAB" w14:textId="77777777" w:rsidR="00A81ECE" w:rsidRP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1AEF8E36" w14:textId="77777777" w:rsid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49ED2583" w14:textId="77777777" w:rsid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05414C05" w14:textId="77777777" w:rsid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79A9882E" w14:textId="77777777" w:rsid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p w14:paraId="0A89786B" w14:textId="77777777" w:rsidR="00A81ECE" w:rsidRDefault="00A81ECE" w:rsidP="00A81ECE">
      <w:pPr>
        <w:rPr>
          <w:rFonts w:ascii="Times New Roman" w:hAnsi="Times New Roman" w:cs="Times New Roman"/>
          <w:sz w:val="28"/>
          <w:szCs w:val="28"/>
        </w:rPr>
      </w:pPr>
    </w:p>
    <w:sectPr w:rsidR="00A8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129"/>
    <w:multiLevelType w:val="multilevel"/>
    <w:tmpl w:val="469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40CE6"/>
    <w:multiLevelType w:val="multilevel"/>
    <w:tmpl w:val="26F2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970566">
    <w:abstractNumId w:val="0"/>
  </w:num>
  <w:num w:numId="2" w16cid:durableId="47869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CE"/>
    <w:rsid w:val="00433BA5"/>
    <w:rsid w:val="009C4442"/>
    <w:rsid w:val="00A81ECE"/>
    <w:rsid w:val="00B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506E"/>
  <w15:chartTrackingRefBased/>
  <w15:docId w15:val="{8A50E1FA-F888-49DD-96F6-FC7C1AA8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2023-08-21T04:09:00Z</dcterms:created>
  <dcterms:modified xsi:type="dcterms:W3CDTF">2023-08-21T04:20:00Z</dcterms:modified>
</cp:coreProperties>
</file>