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86" w:rsidRDefault="006E213D">
      <w:pPr>
        <w:rPr>
          <w:rFonts w:ascii="Times New Roman" w:hAnsi="Times New Roman" w:cs="Times New Roman"/>
          <w:sz w:val="24"/>
          <w:szCs w:val="24"/>
        </w:rPr>
      </w:pPr>
      <w:r w:rsidRPr="006E213D">
        <w:rPr>
          <w:rFonts w:ascii="Times New Roman" w:hAnsi="Times New Roman" w:cs="Times New Roman"/>
          <w:b/>
          <w:sz w:val="24"/>
          <w:szCs w:val="24"/>
        </w:rPr>
        <w:t>Maxim 3</w:t>
      </w:r>
      <w:r>
        <w:rPr>
          <w:rFonts w:ascii="Times New Roman" w:hAnsi="Times New Roman" w:cs="Times New Roman"/>
          <w:sz w:val="24"/>
          <w:szCs w:val="24"/>
        </w:rPr>
        <w:br/>
      </w:r>
      <w:r>
        <w:rPr>
          <w:rFonts w:ascii="Times New Roman" w:hAnsi="Times New Roman" w:cs="Times New Roman"/>
          <w:sz w:val="24"/>
          <w:szCs w:val="24"/>
        </w:rPr>
        <w:br/>
      </w:r>
      <w:r w:rsidRPr="006E213D">
        <w:rPr>
          <w:rFonts w:ascii="Times New Roman" w:hAnsi="Times New Roman" w:cs="Times New Roman"/>
          <w:b/>
          <w:sz w:val="24"/>
          <w:szCs w:val="24"/>
        </w:rPr>
        <w:t>He who seeks equity must do equity</w:t>
      </w:r>
    </w:p>
    <w:p w:rsidR="006E213D" w:rsidRDefault="006E213D">
      <w:pPr>
        <w:rPr>
          <w:rFonts w:ascii="Times New Roman" w:hAnsi="Times New Roman" w:cs="Times New Roman"/>
          <w:sz w:val="24"/>
          <w:szCs w:val="24"/>
        </w:rPr>
      </w:pPr>
    </w:p>
    <w:p w:rsidR="006E213D" w:rsidRPr="006E213D" w:rsidRDefault="006E213D" w:rsidP="006E213D">
      <w:pPr>
        <w:rPr>
          <w:rFonts w:ascii="Times New Roman" w:hAnsi="Times New Roman" w:cs="Times New Roman"/>
          <w:sz w:val="24"/>
          <w:szCs w:val="24"/>
        </w:rPr>
      </w:pPr>
      <w:r w:rsidRPr="006E213D">
        <w:rPr>
          <w:rFonts w:ascii="Times New Roman" w:hAnsi="Times New Roman" w:cs="Times New Roman"/>
          <w:sz w:val="24"/>
          <w:szCs w:val="24"/>
        </w:rPr>
        <w:t>The maxim means that to obtain an equitable relief the plaintiff must himself be prepared to do ‘equity’, that is, a plaintiff must recognize and submit</w:t>
      </w:r>
      <w:r>
        <w:rPr>
          <w:rFonts w:ascii="Times New Roman" w:hAnsi="Times New Roman" w:cs="Times New Roman"/>
          <w:sz w:val="24"/>
          <w:szCs w:val="24"/>
        </w:rPr>
        <w:t xml:space="preserve"> to the right of his adversary. </w:t>
      </w:r>
      <w:r w:rsidRPr="006E213D">
        <w:rPr>
          <w:rFonts w:ascii="Times New Roman" w:hAnsi="Times New Roman" w:cs="Times New Roman"/>
          <w:sz w:val="24"/>
          <w:szCs w:val="24"/>
        </w:rPr>
        <w:t>A person, who seeks relief under the principles of equity, must do whichever is equitable. One who violates the rights of other cannot claim his right until he fulfills his obligation toward others. At first plaintiff has to discharge his duty toward others then he may pray for remedy or relief.</w:t>
      </w:r>
      <w:r>
        <w:rPr>
          <w:rFonts w:ascii="Times New Roman" w:hAnsi="Times New Roman" w:cs="Times New Roman"/>
          <w:sz w:val="24"/>
          <w:szCs w:val="24"/>
        </w:rPr>
        <w:t xml:space="preserve"> </w:t>
      </w:r>
      <w:r w:rsidRPr="006E213D">
        <w:rPr>
          <w:rFonts w:ascii="Times New Roman" w:hAnsi="Times New Roman" w:cs="Times New Roman"/>
          <w:sz w:val="24"/>
          <w:szCs w:val="24"/>
        </w:rPr>
        <w:t>The principle involved in this</w:t>
      </w:r>
      <w:r>
        <w:rPr>
          <w:rFonts w:ascii="Times New Roman" w:hAnsi="Times New Roman" w:cs="Times New Roman"/>
          <w:sz w:val="24"/>
          <w:szCs w:val="24"/>
        </w:rPr>
        <w:t xml:space="preserve"> maxim is that any</w:t>
      </w:r>
      <w:r w:rsidRPr="006E213D">
        <w:rPr>
          <w:rFonts w:ascii="Times New Roman" w:hAnsi="Times New Roman" w:cs="Times New Roman"/>
          <w:sz w:val="24"/>
          <w:szCs w:val="24"/>
        </w:rPr>
        <w:t>one seeking assistance of a Court of Equity must as a condition to obtaining relief do justice as to the matter regarding which the interference of the Court is prayed for. While giving relief Court looks upon the corresponding rights of defendant and duties of plaintiff.</w:t>
      </w:r>
      <w:r>
        <w:rPr>
          <w:rFonts w:ascii="Times New Roman" w:hAnsi="Times New Roman" w:cs="Times New Roman"/>
          <w:sz w:val="24"/>
          <w:szCs w:val="24"/>
        </w:rPr>
        <w:br/>
      </w:r>
      <w:r w:rsidRPr="006E213D">
        <w:rPr>
          <w:rFonts w:ascii="Times New Roman" w:hAnsi="Times New Roman" w:cs="Times New Roman"/>
          <w:sz w:val="24"/>
          <w:szCs w:val="24"/>
        </w:rPr>
        <w:t xml:space="preserve">In the case </w:t>
      </w:r>
      <w:proofErr w:type="gramStart"/>
      <w:r w:rsidRPr="006E213D">
        <w:rPr>
          <w:rFonts w:ascii="Times New Roman" w:hAnsi="Times New Roman" w:cs="Times New Roman"/>
          <w:sz w:val="24"/>
          <w:szCs w:val="24"/>
        </w:rPr>
        <w:t>of</w:t>
      </w:r>
      <w:r>
        <w:rPr>
          <w:rFonts w:ascii="Times New Roman" w:hAnsi="Times New Roman" w:cs="Times New Roman"/>
          <w:sz w:val="24"/>
          <w:szCs w:val="24"/>
        </w:rPr>
        <w:t xml:space="preserve"> </w:t>
      </w:r>
      <w:r w:rsidRPr="006E213D">
        <w:rPr>
          <w:rFonts w:ascii="Times New Roman" w:hAnsi="Times New Roman" w:cs="Times New Roman"/>
          <w:sz w:val="24"/>
          <w:szCs w:val="24"/>
        </w:rPr>
        <w:t xml:space="preserve"> </w:t>
      </w:r>
      <w:proofErr w:type="spellStart"/>
      <w:r w:rsidRPr="006E213D">
        <w:rPr>
          <w:rFonts w:ascii="Times New Roman" w:hAnsi="Times New Roman" w:cs="Times New Roman"/>
          <w:b/>
          <w:sz w:val="24"/>
          <w:szCs w:val="24"/>
          <w:u w:val="single"/>
        </w:rPr>
        <w:t>Deeks</w:t>
      </w:r>
      <w:proofErr w:type="spellEnd"/>
      <w:proofErr w:type="gramEnd"/>
      <w:r w:rsidRPr="006E213D">
        <w:rPr>
          <w:rFonts w:ascii="Times New Roman" w:hAnsi="Times New Roman" w:cs="Times New Roman"/>
          <w:b/>
          <w:sz w:val="24"/>
          <w:szCs w:val="24"/>
          <w:u w:val="single"/>
        </w:rPr>
        <w:t xml:space="preserve"> </w:t>
      </w:r>
      <w:proofErr w:type="spellStart"/>
      <w:r w:rsidRPr="006E213D">
        <w:rPr>
          <w:rFonts w:ascii="Times New Roman" w:hAnsi="Times New Roman" w:cs="Times New Roman"/>
          <w:b/>
          <w:sz w:val="24"/>
          <w:szCs w:val="24"/>
          <w:u w:val="single"/>
        </w:rPr>
        <w:t>vs</w:t>
      </w:r>
      <w:proofErr w:type="spellEnd"/>
      <w:r w:rsidRPr="006E213D">
        <w:rPr>
          <w:rFonts w:ascii="Times New Roman" w:hAnsi="Times New Roman" w:cs="Times New Roman"/>
          <w:b/>
          <w:sz w:val="24"/>
          <w:szCs w:val="24"/>
          <w:u w:val="single"/>
        </w:rPr>
        <w:t xml:space="preserve"> </w:t>
      </w:r>
      <w:proofErr w:type="spellStart"/>
      <w:r w:rsidRPr="006E213D">
        <w:rPr>
          <w:rFonts w:ascii="Times New Roman" w:hAnsi="Times New Roman" w:cs="Times New Roman"/>
          <w:b/>
          <w:sz w:val="24"/>
          <w:szCs w:val="24"/>
          <w:u w:val="single"/>
        </w:rPr>
        <w:t>Strutt</w:t>
      </w:r>
      <w:proofErr w:type="spellEnd"/>
      <w:r w:rsidRPr="006E213D">
        <w:rPr>
          <w:rFonts w:ascii="Times New Roman" w:hAnsi="Times New Roman" w:cs="Times New Roman"/>
          <w:b/>
          <w:sz w:val="24"/>
          <w:szCs w:val="24"/>
          <w:u w:val="single"/>
        </w:rPr>
        <w:t xml:space="preserve"> (1974),</w:t>
      </w:r>
      <w:r w:rsidRPr="006E213D">
        <w:rPr>
          <w:rFonts w:ascii="Times New Roman" w:hAnsi="Times New Roman" w:cs="Times New Roman"/>
          <w:sz w:val="24"/>
          <w:szCs w:val="24"/>
        </w:rPr>
        <w:t xml:space="preserve"> it was pointed out that: “This is a rule of unquestionable justice, which, however decides nothing in itself, for you must first inquire what are the equities which the defendant m</w:t>
      </w:r>
      <w:r>
        <w:rPr>
          <w:rFonts w:ascii="Times New Roman" w:hAnsi="Times New Roman" w:cs="Times New Roman"/>
          <w:sz w:val="24"/>
          <w:szCs w:val="24"/>
        </w:rPr>
        <w:t>ust do, and what t</w:t>
      </w:r>
      <w:r w:rsidRPr="006E213D">
        <w:rPr>
          <w:rFonts w:ascii="Times New Roman" w:hAnsi="Times New Roman" w:cs="Times New Roman"/>
          <w:sz w:val="24"/>
          <w:szCs w:val="24"/>
        </w:rPr>
        <w:t>he</w:t>
      </w:r>
      <w:r>
        <w:rPr>
          <w:rFonts w:ascii="Times New Roman" w:hAnsi="Times New Roman" w:cs="Times New Roman"/>
          <w:sz w:val="24"/>
          <w:szCs w:val="24"/>
        </w:rPr>
        <w:t xml:space="preserve"> plaintiff</w:t>
      </w:r>
      <w:r w:rsidRPr="006E213D">
        <w:rPr>
          <w:rFonts w:ascii="Times New Roman" w:hAnsi="Times New Roman" w:cs="Times New Roman"/>
          <w:sz w:val="24"/>
          <w:szCs w:val="24"/>
        </w:rPr>
        <w:t xml:space="preserve"> ought to have”.</w:t>
      </w:r>
      <w:r w:rsidRPr="006E213D">
        <w:rPr>
          <w:rFonts w:ascii="Times New Roman" w:hAnsi="Times New Roman" w:cs="Times New Roman"/>
          <w:sz w:val="24"/>
          <w:szCs w:val="24"/>
        </w:rPr>
        <w:cr/>
      </w:r>
      <w:r>
        <w:rPr>
          <w:rFonts w:ascii="Times New Roman" w:hAnsi="Times New Roman" w:cs="Times New Roman"/>
          <w:sz w:val="24"/>
          <w:szCs w:val="24"/>
        </w:rPr>
        <w:br/>
      </w:r>
      <w:r w:rsidRPr="006E213D">
        <w:rPr>
          <w:rFonts w:ascii="Times New Roman" w:hAnsi="Times New Roman" w:cs="Times New Roman"/>
          <w:b/>
          <w:sz w:val="24"/>
          <w:szCs w:val="24"/>
          <w:u w:val="single"/>
        </w:rPr>
        <w:t>Application:</w:t>
      </w:r>
    </w:p>
    <w:p w:rsidR="006E213D" w:rsidRPr="006E213D" w:rsidRDefault="006E213D" w:rsidP="006E213D">
      <w:pPr>
        <w:pStyle w:val="ListParagraph"/>
        <w:numPr>
          <w:ilvl w:val="0"/>
          <w:numId w:val="1"/>
        </w:numPr>
        <w:rPr>
          <w:rFonts w:ascii="Times New Roman" w:hAnsi="Times New Roman" w:cs="Times New Roman"/>
          <w:sz w:val="24"/>
          <w:szCs w:val="24"/>
        </w:rPr>
      </w:pPr>
      <w:r w:rsidRPr="006E213D">
        <w:rPr>
          <w:rFonts w:ascii="Times New Roman" w:hAnsi="Times New Roman" w:cs="Times New Roman"/>
          <w:sz w:val="24"/>
          <w:szCs w:val="24"/>
          <w:u w:val="single"/>
        </w:rPr>
        <w:t>Illegal Loans</w:t>
      </w:r>
      <w:proofErr w:type="gramStart"/>
      <w:r w:rsidRPr="006E213D">
        <w:rPr>
          <w:rFonts w:ascii="Times New Roman" w:hAnsi="Times New Roman" w:cs="Times New Roman"/>
          <w:sz w:val="24"/>
          <w:szCs w:val="24"/>
          <w:u w:val="single"/>
        </w:rPr>
        <w:t>:</w:t>
      </w:r>
      <w:proofErr w:type="gramEnd"/>
      <w:r w:rsidRPr="006E213D">
        <w:rPr>
          <w:rFonts w:ascii="Times New Roman" w:hAnsi="Times New Roman" w:cs="Times New Roman"/>
          <w:sz w:val="24"/>
          <w:szCs w:val="24"/>
          <w:u w:val="single"/>
        </w:rPr>
        <w:br/>
      </w:r>
      <w:r w:rsidRPr="006E213D">
        <w:rPr>
          <w:rFonts w:ascii="Times New Roman" w:hAnsi="Times New Roman" w:cs="Times New Roman"/>
          <w:sz w:val="24"/>
          <w:szCs w:val="24"/>
        </w:rPr>
        <w:t>It was first propounded in Lodge v. National Union Investment Co. Ltd (1907), facts of which are as follows:</w:t>
      </w:r>
      <w:r w:rsidRPr="006E213D">
        <w:rPr>
          <w:rFonts w:ascii="Times New Roman" w:hAnsi="Times New Roman" w:cs="Times New Roman"/>
          <w:sz w:val="24"/>
          <w:szCs w:val="24"/>
          <w:u w:val="single"/>
        </w:rPr>
        <w:br/>
      </w:r>
      <w:r w:rsidRPr="006E213D">
        <w:rPr>
          <w:rFonts w:ascii="Times New Roman" w:hAnsi="Times New Roman" w:cs="Times New Roman"/>
          <w:sz w:val="24"/>
          <w:szCs w:val="24"/>
        </w:rPr>
        <w:t>B borrowed money from M by mortgaging certain securities to him. M was unregistered moneylender. Under the Moneylenders Act, the contract was illegal and therefore void. B sued M for the return of securities. The Court refused to make an order except upon the terms that B should repay the money, which had been advanced to him. This decision was based on the principle of this maxim.</w:t>
      </w:r>
    </w:p>
    <w:p w:rsidR="006E213D" w:rsidRDefault="006E213D" w:rsidP="006E213D">
      <w:pPr>
        <w:pStyle w:val="ListParagraph"/>
        <w:numPr>
          <w:ilvl w:val="0"/>
          <w:numId w:val="1"/>
        </w:numPr>
        <w:rPr>
          <w:rFonts w:ascii="Times New Roman" w:hAnsi="Times New Roman" w:cs="Times New Roman"/>
          <w:sz w:val="24"/>
          <w:szCs w:val="24"/>
        </w:rPr>
      </w:pPr>
      <w:r w:rsidRPr="006E213D">
        <w:rPr>
          <w:rFonts w:ascii="Times New Roman" w:hAnsi="Times New Roman" w:cs="Times New Roman"/>
          <w:sz w:val="24"/>
          <w:szCs w:val="24"/>
          <w:u w:val="single"/>
        </w:rPr>
        <w:t xml:space="preserve">2. Doctrine of Election: </w:t>
      </w:r>
      <w:r w:rsidRPr="006E213D">
        <w:rPr>
          <w:rFonts w:ascii="Times New Roman" w:hAnsi="Times New Roman" w:cs="Times New Roman"/>
          <w:sz w:val="24"/>
          <w:szCs w:val="24"/>
          <w:u w:val="single"/>
        </w:rPr>
        <w:br/>
      </w:r>
      <w:r w:rsidRPr="006E213D">
        <w:rPr>
          <w:rFonts w:ascii="Times New Roman" w:hAnsi="Times New Roman" w:cs="Times New Roman"/>
          <w:sz w:val="24"/>
          <w:szCs w:val="24"/>
        </w:rPr>
        <w:t xml:space="preserve">A donor </w:t>
      </w:r>
      <w:proofErr w:type="gramStart"/>
      <w:r w:rsidRPr="006E213D">
        <w:rPr>
          <w:rFonts w:ascii="Times New Roman" w:hAnsi="Times New Roman" w:cs="Times New Roman"/>
          <w:sz w:val="24"/>
          <w:szCs w:val="24"/>
        </w:rPr>
        <w:t>A</w:t>
      </w:r>
      <w:proofErr w:type="gramEnd"/>
      <w:r w:rsidRPr="006E213D">
        <w:rPr>
          <w:rFonts w:ascii="Times New Roman" w:hAnsi="Times New Roman" w:cs="Times New Roman"/>
          <w:sz w:val="24"/>
          <w:szCs w:val="24"/>
        </w:rPr>
        <w:t xml:space="preserve"> gives his own property to B and in the same instrument purports (intention, claim) to give B’s property to C. B will be put to an election. He either to retain his own property or reject the benefit under the instrument or to accept the benefit granted to him by the donor, and allows the gift of his own property made by A to C to take effect. But in no case can B choose to keep the benefit granted to him and at the same time retain his property referred to in the instrument.</w:t>
      </w:r>
    </w:p>
    <w:p w:rsidR="006E213D" w:rsidRPr="006E213D" w:rsidRDefault="006E213D" w:rsidP="006E213D">
      <w:pPr>
        <w:pStyle w:val="ListParagraph"/>
        <w:numPr>
          <w:ilvl w:val="0"/>
          <w:numId w:val="1"/>
        </w:numPr>
        <w:rPr>
          <w:rFonts w:ascii="Times New Roman" w:hAnsi="Times New Roman" w:cs="Times New Roman"/>
          <w:sz w:val="24"/>
          <w:szCs w:val="24"/>
          <w:u w:val="single"/>
        </w:rPr>
      </w:pPr>
      <w:r w:rsidRPr="006E213D">
        <w:rPr>
          <w:rFonts w:ascii="Times New Roman" w:hAnsi="Times New Roman" w:cs="Times New Roman"/>
          <w:sz w:val="24"/>
          <w:szCs w:val="24"/>
          <w:u w:val="single"/>
        </w:rPr>
        <w:t xml:space="preserve">Equitable estoppel: </w:t>
      </w:r>
    </w:p>
    <w:p w:rsidR="006E213D" w:rsidRDefault="006E213D" w:rsidP="006E213D">
      <w:pPr>
        <w:pStyle w:val="ListParagraph"/>
        <w:rPr>
          <w:rFonts w:ascii="Times New Roman" w:hAnsi="Times New Roman" w:cs="Times New Roman"/>
          <w:sz w:val="24"/>
          <w:szCs w:val="24"/>
        </w:rPr>
      </w:pPr>
      <w:proofErr w:type="gramStart"/>
      <w:r w:rsidRPr="006E213D">
        <w:rPr>
          <w:rFonts w:ascii="Times New Roman" w:hAnsi="Times New Roman" w:cs="Times New Roman"/>
          <w:sz w:val="24"/>
          <w:szCs w:val="24"/>
        </w:rPr>
        <w:t xml:space="preserve">The rule of evidence or doctrine of law, which precludes (prevent, exclude) a person from denying the truth of same statement formerly, made by </w:t>
      </w:r>
      <w:proofErr w:type="spellStart"/>
      <w:r w:rsidRPr="006E213D">
        <w:rPr>
          <w:rFonts w:ascii="Times New Roman" w:hAnsi="Times New Roman" w:cs="Times New Roman"/>
          <w:sz w:val="24"/>
          <w:szCs w:val="24"/>
        </w:rPr>
        <w:t>him.</w:t>
      </w:r>
      <w:proofErr w:type="spellEnd"/>
      <w:proofErr w:type="gramEnd"/>
      <w:r>
        <w:rPr>
          <w:rFonts w:ascii="Times New Roman" w:hAnsi="Times New Roman" w:cs="Times New Roman"/>
          <w:sz w:val="24"/>
          <w:szCs w:val="24"/>
        </w:rPr>
        <w:br/>
      </w:r>
      <w:proofErr w:type="spellStart"/>
      <w:r w:rsidRPr="006E213D">
        <w:rPr>
          <w:rFonts w:ascii="Times New Roman" w:hAnsi="Times New Roman" w:cs="Times New Roman"/>
          <w:sz w:val="24"/>
          <w:szCs w:val="24"/>
        </w:rPr>
        <w:t>Rahima</w:t>
      </w:r>
      <w:proofErr w:type="spellEnd"/>
      <w:r w:rsidRPr="006E213D">
        <w:rPr>
          <w:rFonts w:ascii="Times New Roman" w:hAnsi="Times New Roman" w:cs="Times New Roman"/>
          <w:sz w:val="24"/>
          <w:szCs w:val="24"/>
        </w:rPr>
        <w:t xml:space="preserve"> obtains a judgment of paternity in family court, showing that </w:t>
      </w:r>
      <w:proofErr w:type="spellStart"/>
      <w:r w:rsidRPr="006E213D">
        <w:rPr>
          <w:rFonts w:ascii="Times New Roman" w:hAnsi="Times New Roman" w:cs="Times New Roman"/>
          <w:sz w:val="24"/>
          <w:szCs w:val="24"/>
        </w:rPr>
        <w:t>Karim</w:t>
      </w:r>
      <w:proofErr w:type="spellEnd"/>
      <w:r w:rsidRPr="006E213D">
        <w:rPr>
          <w:rFonts w:ascii="Times New Roman" w:hAnsi="Times New Roman" w:cs="Times New Roman"/>
          <w:sz w:val="24"/>
          <w:szCs w:val="24"/>
        </w:rPr>
        <w:t xml:space="preserve"> is the father of her baby. Later, </w:t>
      </w:r>
      <w:proofErr w:type="spellStart"/>
      <w:r w:rsidRPr="006E213D">
        <w:rPr>
          <w:rFonts w:ascii="Times New Roman" w:hAnsi="Times New Roman" w:cs="Times New Roman"/>
          <w:sz w:val="24"/>
          <w:szCs w:val="24"/>
        </w:rPr>
        <w:t>Rahima</w:t>
      </w:r>
      <w:proofErr w:type="spellEnd"/>
      <w:r w:rsidRPr="006E213D">
        <w:rPr>
          <w:rFonts w:ascii="Times New Roman" w:hAnsi="Times New Roman" w:cs="Times New Roman"/>
          <w:sz w:val="24"/>
          <w:szCs w:val="24"/>
        </w:rPr>
        <w:t xml:space="preserve"> seeks an order for </w:t>
      </w:r>
      <w:proofErr w:type="spellStart"/>
      <w:r w:rsidRPr="006E213D">
        <w:rPr>
          <w:rFonts w:ascii="Times New Roman" w:hAnsi="Times New Roman" w:cs="Times New Roman"/>
          <w:sz w:val="24"/>
          <w:szCs w:val="24"/>
        </w:rPr>
        <w:t>Karim</w:t>
      </w:r>
      <w:proofErr w:type="spellEnd"/>
      <w:r w:rsidRPr="006E213D">
        <w:rPr>
          <w:rFonts w:ascii="Times New Roman" w:hAnsi="Times New Roman" w:cs="Times New Roman"/>
          <w:sz w:val="24"/>
          <w:szCs w:val="24"/>
        </w:rPr>
        <w:t xml:space="preserve"> to pay child support. Because the issue of paternity has already been established by the court, </w:t>
      </w:r>
      <w:proofErr w:type="spellStart"/>
      <w:r w:rsidRPr="006E213D">
        <w:rPr>
          <w:rFonts w:ascii="Times New Roman" w:hAnsi="Times New Roman" w:cs="Times New Roman"/>
          <w:sz w:val="24"/>
          <w:szCs w:val="24"/>
        </w:rPr>
        <w:t>Karim</w:t>
      </w:r>
      <w:proofErr w:type="spellEnd"/>
      <w:r w:rsidRPr="006E213D">
        <w:rPr>
          <w:rFonts w:ascii="Times New Roman" w:hAnsi="Times New Roman" w:cs="Times New Roman"/>
          <w:sz w:val="24"/>
          <w:szCs w:val="24"/>
        </w:rPr>
        <w:t xml:space="preserve"> is collaterally</w:t>
      </w:r>
      <w:r w:rsidRPr="006E213D">
        <w:rPr>
          <w:rFonts w:ascii="Times New Roman" w:hAnsi="Times New Roman" w:cs="Times New Roman"/>
          <w:sz w:val="24"/>
          <w:szCs w:val="24"/>
        </w:rPr>
        <w:t xml:space="preserve"> </w:t>
      </w:r>
      <w:r w:rsidRPr="006E213D">
        <w:rPr>
          <w:rFonts w:ascii="Times New Roman" w:hAnsi="Times New Roman" w:cs="Times New Roman"/>
          <w:sz w:val="24"/>
          <w:szCs w:val="24"/>
        </w:rPr>
        <w:lastRenderedPageBreak/>
        <w:t>estopped from claiming he is not the father in an attempt to avoid his child support obligations.</w:t>
      </w:r>
    </w:p>
    <w:p w:rsidR="006E213D" w:rsidRPr="006E213D" w:rsidRDefault="006E213D" w:rsidP="006E213D">
      <w:pPr>
        <w:pStyle w:val="ListParagraph"/>
        <w:numPr>
          <w:ilvl w:val="0"/>
          <w:numId w:val="1"/>
        </w:numPr>
        <w:rPr>
          <w:rFonts w:ascii="Times New Roman" w:hAnsi="Times New Roman" w:cs="Times New Roman"/>
          <w:sz w:val="24"/>
          <w:szCs w:val="24"/>
          <w:u w:val="single"/>
        </w:rPr>
      </w:pPr>
      <w:r w:rsidRPr="006E213D">
        <w:rPr>
          <w:rFonts w:ascii="Times New Roman" w:hAnsi="Times New Roman" w:cs="Times New Roman"/>
          <w:sz w:val="24"/>
          <w:szCs w:val="24"/>
          <w:u w:val="single"/>
        </w:rPr>
        <w:t>Wife’s equity to a settlement:</w:t>
      </w:r>
    </w:p>
    <w:p w:rsidR="006E213D" w:rsidRDefault="006E213D" w:rsidP="006E213D">
      <w:pPr>
        <w:pStyle w:val="ListParagraph"/>
        <w:rPr>
          <w:rFonts w:ascii="Times New Roman" w:hAnsi="Times New Roman" w:cs="Times New Roman"/>
          <w:sz w:val="24"/>
          <w:szCs w:val="24"/>
        </w:rPr>
      </w:pPr>
      <w:r w:rsidRPr="006E213D">
        <w:rPr>
          <w:rFonts w:ascii="Times New Roman" w:hAnsi="Times New Roman" w:cs="Times New Roman"/>
          <w:sz w:val="24"/>
          <w:szCs w:val="24"/>
        </w:rPr>
        <w:t>There was time when in England at Common Law the wife could not hold independently any property. This was the effect of marriage. Woman’s property was merged with that of her husband. She had no property of her own. Equity court imposed on the husband that he must make a reasonable provision for his wife and her children.</w:t>
      </w:r>
    </w:p>
    <w:p w:rsidR="006E213D" w:rsidRPr="006E213D" w:rsidRDefault="006E213D" w:rsidP="006E213D">
      <w:pPr>
        <w:pStyle w:val="ListParagraph"/>
        <w:numPr>
          <w:ilvl w:val="0"/>
          <w:numId w:val="1"/>
        </w:numPr>
        <w:rPr>
          <w:rFonts w:ascii="Times New Roman" w:hAnsi="Times New Roman" w:cs="Times New Roman"/>
          <w:sz w:val="24"/>
          <w:szCs w:val="24"/>
          <w:u w:val="single"/>
        </w:rPr>
      </w:pPr>
      <w:r w:rsidRPr="006E213D">
        <w:rPr>
          <w:rFonts w:ascii="Times New Roman" w:hAnsi="Times New Roman" w:cs="Times New Roman"/>
          <w:sz w:val="24"/>
          <w:szCs w:val="24"/>
          <w:u w:val="single"/>
        </w:rPr>
        <w:t xml:space="preserve">Set off (conflicting claims in one proceeding): </w:t>
      </w:r>
    </w:p>
    <w:p w:rsidR="006E213D" w:rsidRPr="006E213D" w:rsidRDefault="006E213D" w:rsidP="006E213D">
      <w:pPr>
        <w:pStyle w:val="ListParagraph"/>
        <w:rPr>
          <w:rFonts w:ascii="Times New Roman" w:hAnsi="Times New Roman" w:cs="Times New Roman"/>
          <w:sz w:val="24"/>
          <w:szCs w:val="24"/>
        </w:rPr>
      </w:pPr>
      <w:r w:rsidRPr="006E213D">
        <w:rPr>
          <w:rFonts w:ascii="Times New Roman" w:hAnsi="Times New Roman" w:cs="Times New Roman"/>
          <w:sz w:val="24"/>
          <w:szCs w:val="24"/>
        </w:rPr>
        <w:t>A judgment-debtor is entitled to set off a decree which he has against his decree-holder and this right of set off he can also exercise against the transferee of the decree-holder.</w:t>
      </w:r>
    </w:p>
    <w:p w:rsidR="006E213D" w:rsidRDefault="006E213D" w:rsidP="006E213D">
      <w:pPr>
        <w:pStyle w:val="ListParagraph"/>
        <w:rPr>
          <w:rFonts w:ascii="Times New Roman" w:hAnsi="Times New Roman" w:cs="Times New Roman"/>
          <w:sz w:val="24"/>
          <w:szCs w:val="24"/>
        </w:rPr>
      </w:pPr>
      <w:proofErr w:type="gramStart"/>
      <w:r w:rsidRPr="006E213D">
        <w:rPr>
          <w:rFonts w:ascii="Times New Roman" w:hAnsi="Times New Roman" w:cs="Times New Roman"/>
          <w:sz w:val="24"/>
          <w:szCs w:val="24"/>
        </w:rPr>
        <w:t>A holds a decree against B for Taka.</w:t>
      </w:r>
      <w:proofErr w:type="gramEnd"/>
      <w:r w:rsidRPr="006E213D">
        <w:rPr>
          <w:rFonts w:ascii="Times New Roman" w:hAnsi="Times New Roman" w:cs="Times New Roman"/>
          <w:sz w:val="24"/>
          <w:szCs w:val="24"/>
        </w:rPr>
        <w:t xml:space="preserve"> 5000/-. B has decree against A for Taka. 3000/-. C is a transferee from A of his decree. C cannot execute the decree against B for more than Taka. 2000/-.</w:t>
      </w:r>
    </w:p>
    <w:p w:rsidR="006E213D" w:rsidRPr="006E213D" w:rsidRDefault="006E213D" w:rsidP="006E213D">
      <w:pPr>
        <w:pStyle w:val="ListParagraph"/>
        <w:numPr>
          <w:ilvl w:val="0"/>
          <w:numId w:val="1"/>
        </w:numPr>
        <w:rPr>
          <w:rFonts w:ascii="Times New Roman" w:hAnsi="Times New Roman" w:cs="Times New Roman"/>
          <w:sz w:val="24"/>
          <w:szCs w:val="24"/>
          <w:u w:val="single"/>
        </w:rPr>
      </w:pPr>
      <w:r w:rsidRPr="006E213D">
        <w:rPr>
          <w:rFonts w:ascii="Times New Roman" w:hAnsi="Times New Roman" w:cs="Times New Roman"/>
          <w:sz w:val="24"/>
          <w:szCs w:val="24"/>
          <w:u w:val="single"/>
        </w:rPr>
        <w:t>Restitution of benefits on cancellation of transaction:</w:t>
      </w:r>
    </w:p>
    <w:p w:rsidR="006E213D" w:rsidRDefault="006E213D" w:rsidP="006E213D">
      <w:pPr>
        <w:pStyle w:val="ListParagraph"/>
        <w:rPr>
          <w:rFonts w:ascii="Times New Roman" w:hAnsi="Times New Roman" w:cs="Times New Roman"/>
          <w:sz w:val="24"/>
          <w:szCs w:val="24"/>
        </w:rPr>
      </w:pPr>
      <w:r w:rsidRPr="006E213D">
        <w:rPr>
          <w:rFonts w:ascii="Times New Roman" w:hAnsi="Times New Roman" w:cs="Times New Roman"/>
          <w:sz w:val="24"/>
          <w:szCs w:val="24"/>
        </w:rPr>
        <w:t xml:space="preserve"> It is proper justice to return the benefits of a contract which was voidable, and, equity enforced </w:t>
      </w:r>
      <w:r w:rsidRPr="006E213D">
        <w:rPr>
          <w:rFonts w:ascii="Times New Roman" w:hAnsi="Times New Roman" w:cs="Times New Roman"/>
          <w:sz w:val="24"/>
          <w:szCs w:val="24"/>
        </w:rPr>
        <w:t>this principle</w:t>
      </w:r>
      <w:r w:rsidRPr="006E213D">
        <w:rPr>
          <w:rFonts w:ascii="Times New Roman" w:hAnsi="Times New Roman" w:cs="Times New Roman"/>
          <w:sz w:val="24"/>
          <w:szCs w:val="24"/>
        </w:rPr>
        <w:t xml:space="preserve"> in cases where it granted relief of rescission of a contract. A party </w:t>
      </w:r>
      <w:r w:rsidRPr="006E213D">
        <w:rPr>
          <w:rFonts w:ascii="Times New Roman" w:hAnsi="Times New Roman" w:cs="Times New Roman"/>
          <w:sz w:val="24"/>
          <w:szCs w:val="24"/>
        </w:rPr>
        <w:t>cannot</w:t>
      </w:r>
      <w:r w:rsidRPr="006E213D">
        <w:rPr>
          <w:rFonts w:ascii="Times New Roman" w:hAnsi="Times New Roman" w:cs="Times New Roman"/>
          <w:sz w:val="24"/>
          <w:szCs w:val="24"/>
        </w:rPr>
        <w:t xml:space="preserve"> be allowed to take advantage of his own wrong.</w:t>
      </w:r>
    </w:p>
    <w:p w:rsidR="006E213D" w:rsidRDefault="006E213D" w:rsidP="006E213D">
      <w:pPr>
        <w:rPr>
          <w:rFonts w:ascii="Times New Roman" w:hAnsi="Times New Roman" w:cs="Times New Roman"/>
          <w:sz w:val="24"/>
          <w:szCs w:val="24"/>
        </w:rPr>
      </w:pPr>
      <w:r w:rsidRPr="006E213D">
        <w:rPr>
          <w:rFonts w:ascii="Times New Roman" w:hAnsi="Times New Roman" w:cs="Times New Roman"/>
          <w:b/>
          <w:sz w:val="24"/>
          <w:szCs w:val="24"/>
          <w:u w:val="single"/>
        </w:rPr>
        <w:br/>
      </w:r>
      <w:r>
        <w:rPr>
          <w:rFonts w:ascii="Times New Roman" w:hAnsi="Times New Roman" w:cs="Times New Roman"/>
          <w:b/>
          <w:sz w:val="24"/>
          <w:szCs w:val="24"/>
          <w:u w:val="single"/>
        </w:rPr>
        <w:t>Limitation</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br/>
      </w:r>
      <w:r>
        <w:rPr>
          <w:rFonts w:ascii="Times New Roman" w:hAnsi="Times New Roman" w:cs="Times New Roman"/>
          <w:b/>
          <w:sz w:val="24"/>
          <w:szCs w:val="24"/>
          <w:u w:val="single"/>
        </w:rPr>
        <w:br/>
      </w:r>
      <w:r w:rsidRPr="006E213D">
        <w:rPr>
          <w:rFonts w:ascii="Times New Roman" w:hAnsi="Times New Roman" w:cs="Times New Roman"/>
          <w:sz w:val="24"/>
          <w:szCs w:val="24"/>
        </w:rPr>
        <w:t>1. Where there it seems inequitable.</w:t>
      </w:r>
      <w:r>
        <w:rPr>
          <w:rFonts w:ascii="Times New Roman" w:hAnsi="Times New Roman" w:cs="Times New Roman"/>
          <w:b/>
          <w:sz w:val="24"/>
          <w:szCs w:val="24"/>
          <w:u w:val="single"/>
        </w:rPr>
        <w:br/>
      </w:r>
      <w:r w:rsidRPr="006E213D">
        <w:rPr>
          <w:rFonts w:ascii="Times New Roman" w:hAnsi="Times New Roman" w:cs="Times New Roman"/>
          <w:sz w:val="24"/>
          <w:szCs w:val="24"/>
        </w:rPr>
        <w:t>2.  Also it cannot be applied to Acts of Parliament</w:t>
      </w:r>
      <w:r>
        <w:rPr>
          <w:rFonts w:ascii="Times New Roman" w:hAnsi="Times New Roman" w:cs="Times New Roman"/>
          <w:b/>
          <w:sz w:val="24"/>
          <w:szCs w:val="24"/>
          <w:u w:val="single"/>
        </w:rPr>
        <w:br/>
      </w:r>
      <w:r w:rsidRPr="006E213D">
        <w:rPr>
          <w:rFonts w:ascii="Times New Roman" w:hAnsi="Times New Roman" w:cs="Times New Roman"/>
          <w:sz w:val="24"/>
          <w:szCs w:val="24"/>
        </w:rPr>
        <w:t>3.  No one can go against the statute.</w:t>
      </w:r>
      <w:r>
        <w:rPr>
          <w:rFonts w:ascii="Times New Roman" w:hAnsi="Times New Roman" w:cs="Times New Roman"/>
          <w:b/>
          <w:sz w:val="24"/>
          <w:szCs w:val="24"/>
          <w:u w:val="single"/>
        </w:rPr>
        <w:br/>
      </w:r>
      <w:r w:rsidRPr="006E213D">
        <w:rPr>
          <w:rFonts w:ascii="Times New Roman" w:hAnsi="Times New Roman" w:cs="Times New Roman"/>
          <w:sz w:val="24"/>
          <w:szCs w:val="24"/>
        </w:rPr>
        <w:t>4. Where liability is imposed by the statute.</w:t>
      </w:r>
      <w:r>
        <w:rPr>
          <w:rFonts w:ascii="Times New Roman" w:hAnsi="Times New Roman" w:cs="Times New Roman"/>
          <w:b/>
          <w:sz w:val="24"/>
          <w:szCs w:val="24"/>
          <w:u w:val="single"/>
        </w:rPr>
        <w:br/>
      </w:r>
      <w:r w:rsidRPr="006E213D">
        <w:rPr>
          <w:rFonts w:ascii="Times New Roman" w:hAnsi="Times New Roman" w:cs="Times New Roman"/>
          <w:sz w:val="24"/>
          <w:szCs w:val="24"/>
        </w:rPr>
        <w:t>5. Where there is statutory prohibition.</w:t>
      </w:r>
      <w:r>
        <w:rPr>
          <w:rFonts w:ascii="Times New Roman" w:hAnsi="Times New Roman" w:cs="Times New Roman"/>
          <w:b/>
          <w:sz w:val="24"/>
          <w:szCs w:val="24"/>
          <w:u w:val="single"/>
        </w:rPr>
        <w:br/>
      </w:r>
      <w:r w:rsidRPr="006E213D">
        <w:rPr>
          <w:rFonts w:ascii="Times New Roman" w:hAnsi="Times New Roman" w:cs="Times New Roman"/>
          <w:sz w:val="24"/>
          <w:szCs w:val="24"/>
        </w:rPr>
        <w:t>8.  Where there is fraud.</w:t>
      </w:r>
      <w:r>
        <w:rPr>
          <w:rFonts w:ascii="Times New Roman" w:hAnsi="Times New Roman" w:cs="Times New Roman"/>
          <w:b/>
          <w:sz w:val="24"/>
          <w:szCs w:val="24"/>
          <w:u w:val="single"/>
        </w:rPr>
        <w:br/>
      </w:r>
      <w:r w:rsidRPr="006E213D">
        <w:rPr>
          <w:rFonts w:ascii="Times New Roman" w:hAnsi="Times New Roman" w:cs="Times New Roman"/>
          <w:sz w:val="24"/>
          <w:szCs w:val="24"/>
        </w:rPr>
        <w:t>9. Where public interest suffers.</w:t>
      </w:r>
    </w:p>
    <w:p w:rsidR="006E213D" w:rsidRPr="006E213D" w:rsidRDefault="006E213D" w:rsidP="006E213D">
      <w:pPr>
        <w:rPr>
          <w:rFonts w:ascii="Times New Roman" w:hAnsi="Times New Roman" w:cs="Times New Roman"/>
          <w:b/>
          <w:sz w:val="24"/>
          <w:szCs w:val="24"/>
          <w:u w:val="single"/>
        </w:rPr>
      </w:pPr>
      <w:r>
        <w:rPr>
          <w:rFonts w:ascii="Times New Roman" w:hAnsi="Times New Roman" w:cs="Times New Roman"/>
          <w:b/>
          <w:sz w:val="24"/>
          <w:szCs w:val="24"/>
          <w:u w:val="single"/>
        </w:rPr>
        <w:t>Recognition:</w:t>
      </w:r>
    </w:p>
    <w:p w:rsidR="006E213D" w:rsidRPr="006E213D" w:rsidRDefault="006E213D" w:rsidP="006E213D">
      <w:pPr>
        <w:rPr>
          <w:rFonts w:ascii="Times New Roman" w:hAnsi="Times New Roman" w:cs="Times New Roman"/>
          <w:sz w:val="24"/>
          <w:szCs w:val="24"/>
        </w:rPr>
      </w:pPr>
      <w:r w:rsidRPr="006E213D">
        <w:rPr>
          <w:rFonts w:ascii="Times New Roman" w:hAnsi="Times New Roman" w:cs="Times New Roman"/>
          <w:sz w:val="24"/>
          <w:szCs w:val="24"/>
        </w:rPr>
        <w:t>(i) Under Section (19-A ) of the Contract Act, 1872 if a contract becomes voidable and the party who entered into the contract voids the contract, he has retu</w:t>
      </w:r>
      <w:r>
        <w:rPr>
          <w:rFonts w:ascii="Times New Roman" w:hAnsi="Times New Roman" w:cs="Times New Roman"/>
          <w:sz w:val="24"/>
          <w:szCs w:val="24"/>
        </w:rPr>
        <w:t>rn the benefit of the contract</w:t>
      </w:r>
      <w:r>
        <w:rPr>
          <w:rFonts w:ascii="Times New Roman" w:hAnsi="Times New Roman" w:cs="Times New Roman"/>
          <w:sz w:val="24"/>
          <w:szCs w:val="24"/>
        </w:rPr>
        <w:br/>
      </w:r>
      <w:r w:rsidRPr="006E213D">
        <w:rPr>
          <w:rFonts w:ascii="Times New Roman" w:hAnsi="Times New Roman" w:cs="Times New Roman"/>
          <w:sz w:val="24"/>
          <w:szCs w:val="24"/>
        </w:rPr>
        <w:t>(ii) Section 35 (Election when necessary) of the Transfer of Property Act,1882, embodies the principle of election.</w:t>
      </w:r>
      <w:r>
        <w:rPr>
          <w:rFonts w:ascii="Times New Roman" w:hAnsi="Times New Roman" w:cs="Times New Roman"/>
          <w:sz w:val="24"/>
          <w:szCs w:val="24"/>
        </w:rPr>
        <w:br/>
      </w:r>
      <w:r w:rsidRPr="006E213D">
        <w:rPr>
          <w:rFonts w:ascii="Times New Roman" w:hAnsi="Times New Roman" w:cs="Times New Roman"/>
          <w:sz w:val="24"/>
          <w:szCs w:val="24"/>
        </w:rPr>
        <w:t>(iii) Sec 51 and 54 of the Transfer of Property Act, 1882, pres</w:t>
      </w:r>
      <w:r>
        <w:rPr>
          <w:rFonts w:ascii="Times New Roman" w:hAnsi="Times New Roman" w:cs="Times New Roman"/>
          <w:sz w:val="24"/>
          <w:szCs w:val="24"/>
        </w:rPr>
        <w:t>cribed restitution of benefits.</w:t>
      </w:r>
      <w:r>
        <w:rPr>
          <w:rFonts w:ascii="Times New Roman" w:hAnsi="Times New Roman" w:cs="Times New Roman"/>
          <w:sz w:val="24"/>
          <w:szCs w:val="24"/>
        </w:rPr>
        <w:br/>
      </w:r>
      <w:proofErr w:type="gramStart"/>
      <w:r w:rsidRPr="006E213D">
        <w:rPr>
          <w:rFonts w:ascii="Times New Roman" w:hAnsi="Times New Roman" w:cs="Times New Roman"/>
          <w:sz w:val="24"/>
          <w:szCs w:val="24"/>
        </w:rPr>
        <w:t>(iv) In</w:t>
      </w:r>
      <w:proofErr w:type="gramEnd"/>
      <w:r w:rsidRPr="006E213D">
        <w:rPr>
          <w:rFonts w:ascii="Times New Roman" w:hAnsi="Times New Roman" w:cs="Times New Roman"/>
          <w:sz w:val="24"/>
          <w:szCs w:val="24"/>
        </w:rPr>
        <w:t xml:space="preserve"> Order 8, Rule 6 of the Code of the Civil Procedure, 1898, the doctrine of Set-off is recognized</w:t>
      </w:r>
      <w:bookmarkStart w:id="0" w:name="_GoBack"/>
      <w:bookmarkEnd w:id="0"/>
    </w:p>
    <w:p w:rsidR="006E213D" w:rsidRPr="006E213D" w:rsidRDefault="006E213D" w:rsidP="006E213D">
      <w:pPr>
        <w:rPr>
          <w:rFonts w:ascii="Times New Roman" w:hAnsi="Times New Roman" w:cs="Times New Roman"/>
          <w:b/>
          <w:sz w:val="24"/>
          <w:szCs w:val="24"/>
          <w:u w:val="single"/>
        </w:rPr>
      </w:pPr>
    </w:p>
    <w:sectPr w:rsidR="006E213D" w:rsidRPr="006E2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7574"/>
    <w:multiLevelType w:val="hybridMultilevel"/>
    <w:tmpl w:val="6268C6B4"/>
    <w:lvl w:ilvl="0" w:tplc="7646CCC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3D"/>
    <w:rsid w:val="006E213D"/>
    <w:rsid w:val="0071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Zeus</dc:creator>
  <cp:lastModifiedBy>Zeus</cp:lastModifiedBy>
  <cp:revision>1</cp:revision>
  <dcterms:created xsi:type="dcterms:W3CDTF">2018-05-23T10:31:00Z</dcterms:created>
  <dcterms:modified xsi:type="dcterms:W3CDTF">2018-05-23T10:40:00Z</dcterms:modified>
</cp:coreProperties>
</file>