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F2" w:rsidRPr="008E5617" w:rsidRDefault="008A6E77">
      <w:pPr>
        <w:rPr>
          <w:rFonts w:ascii="Edwardian Script ITC" w:hAnsi="Edwardian Script ITC" w:cs="Times New Roman"/>
          <w:b/>
          <w:sz w:val="72"/>
          <w:szCs w:val="72"/>
        </w:rPr>
      </w:pPr>
      <w:r w:rsidRPr="008E5617">
        <w:rPr>
          <w:rFonts w:ascii="Edwardian Script ITC" w:hAnsi="Edwardian Script ITC" w:cs="Times New Roman"/>
          <w:b/>
          <w:sz w:val="72"/>
          <w:szCs w:val="72"/>
        </w:rPr>
        <w:t>Delay defeats equities</w:t>
      </w:r>
    </w:p>
    <w:p w:rsidR="008A6E77" w:rsidRDefault="008A6E77">
      <w:pPr>
        <w:rPr>
          <w:rFonts w:ascii="Times New Roman" w:hAnsi="Times New Roman" w:cs="Times New Roman"/>
          <w:sz w:val="24"/>
          <w:szCs w:val="24"/>
        </w:rPr>
      </w:pPr>
    </w:p>
    <w:p w:rsidR="008A6E77" w:rsidRDefault="008A6E77">
      <w:pPr>
        <w:rPr>
          <w:rFonts w:ascii="Times New Roman" w:hAnsi="Times New Roman" w:cs="Times New Roman"/>
          <w:sz w:val="24"/>
          <w:szCs w:val="24"/>
        </w:rPr>
      </w:pPr>
      <w:r w:rsidRPr="008A6E77">
        <w:rPr>
          <w:rFonts w:ascii="Times New Roman" w:hAnsi="Times New Roman" w:cs="Times New Roman"/>
          <w:sz w:val="24"/>
          <w:szCs w:val="24"/>
        </w:rPr>
        <w:t>This maxim means “Equity aids the vigilant and not the indolent.” If one sleeps upon his rights, his rights will slip away from him and therefore this maxim is expressed. If someone has any right, he must come to Court for remedy within stipulated time period as laid down in the law. If he comes within fixed time period, then his right would be recognized and enforced. Delay in claim defeats right.</w:t>
      </w:r>
      <w:r>
        <w:rPr>
          <w:rFonts w:ascii="Times New Roman" w:hAnsi="Times New Roman" w:cs="Times New Roman"/>
          <w:sz w:val="24"/>
          <w:szCs w:val="24"/>
        </w:rPr>
        <w:t xml:space="preserve"> </w:t>
      </w:r>
      <w:r w:rsidRPr="008A6E77">
        <w:rPr>
          <w:rFonts w:ascii="Times New Roman" w:hAnsi="Times New Roman" w:cs="Times New Roman"/>
          <w:sz w:val="24"/>
          <w:szCs w:val="24"/>
        </w:rPr>
        <w:t>There are two types of delays. One is explainable and other one is not explainable. If the case is referred toward the concerned authority and they have retained the case, which caused delay, it is explainable and does not defeat the right.</w:t>
      </w:r>
    </w:p>
    <w:p w:rsidR="008A6E77" w:rsidRDefault="008A6E77" w:rsidP="008A6E77">
      <w:pPr>
        <w:rPr>
          <w:rFonts w:ascii="Times New Roman" w:hAnsi="Times New Roman" w:cs="Times New Roman"/>
          <w:sz w:val="24"/>
          <w:szCs w:val="24"/>
        </w:rPr>
      </w:pPr>
      <w:r>
        <w:rPr>
          <w:rFonts w:ascii="Times New Roman" w:hAnsi="Times New Roman" w:cs="Times New Roman"/>
          <w:sz w:val="24"/>
          <w:szCs w:val="24"/>
          <w:u w:val="single"/>
        </w:rPr>
        <w:t>The Limitation Act , 1908</w:t>
      </w:r>
      <w:r>
        <w:rPr>
          <w:rFonts w:ascii="Times New Roman" w:hAnsi="Times New Roman" w:cs="Times New Roman"/>
          <w:sz w:val="24"/>
          <w:szCs w:val="24"/>
          <w:u w:val="single"/>
        </w:rPr>
        <w:br/>
      </w:r>
      <w:r w:rsidRPr="008A6E77">
        <w:rPr>
          <w:rFonts w:ascii="Times New Roman" w:hAnsi="Times New Roman" w:cs="Times New Roman"/>
          <w:b/>
          <w:sz w:val="24"/>
          <w:szCs w:val="24"/>
        </w:rPr>
        <w:t>Section 3:</w:t>
      </w:r>
      <w:r w:rsidRPr="008A6E77">
        <w:rPr>
          <w:rFonts w:ascii="Times New Roman" w:hAnsi="Times New Roman" w:cs="Times New Roman"/>
          <w:sz w:val="24"/>
          <w:szCs w:val="24"/>
        </w:rPr>
        <w:t xml:space="preserve"> (Dismissal of suits institut</w:t>
      </w:r>
      <w:r>
        <w:rPr>
          <w:rFonts w:ascii="Times New Roman" w:hAnsi="Times New Roman" w:cs="Times New Roman"/>
          <w:sz w:val="24"/>
          <w:szCs w:val="24"/>
        </w:rPr>
        <w:t>ed after period of limitation)</w:t>
      </w:r>
      <w:r>
        <w:rPr>
          <w:rFonts w:ascii="Times New Roman" w:hAnsi="Times New Roman" w:cs="Times New Roman"/>
          <w:sz w:val="24"/>
          <w:szCs w:val="24"/>
        </w:rPr>
        <w:br/>
      </w:r>
      <w:r w:rsidRPr="008A6E77">
        <w:rPr>
          <w:rFonts w:ascii="Times New Roman" w:hAnsi="Times New Roman" w:cs="Times New Roman"/>
          <w:sz w:val="24"/>
          <w:szCs w:val="24"/>
        </w:rPr>
        <w:t>Every suit instituted, appeal preferred, and application made, after the period of limitation (prescribed therefor by the first schedule) shall be dismissed, although limitation has not been set up as a defense.</w:t>
      </w:r>
    </w:p>
    <w:tbl>
      <w:tblPr>
        <w:tblStyle w:val="TableGrid"/>
        <w:tblW w:w="0" w:type="auto"/>
        <w:tblLook w:val="04A0" w:firstRow="1" w:lastRow="0" w:firstColumn="1" w:lastColumn="0" w:noHBand="0" w:noVBand="1"/>
      </w:tblPr>
      <w:tblGrid>
        <w:gridCol w:w="4788"/>
        <w:gridCol w:w="4788"/>
      </w:tblGrid>
      <w:tr w:rsidR="008A6E77" w:rsidTr="008A6E77">
        <w:tc>
          <w:tcPr>
            <w:tcW w:w="4788" w:type="dxa"/>
          </w:tcPr>
          <w:p w:rsidR="008A6E77" w:rsidRPr="008A6E77" w:rsidRDefault="008A6E77" w:rsidP="008A6E77">
            <w:pPr>
              <w:jc w:val="center"/>
              <w:rPr>
                <w:rFonts w:ascii="Times New Roman" w:hAnsi="Times New Roman" w:cs="Times New Roman"/>
                <w:b/>
                <w:sz w:val="24"/>
                <w:szCs w:val="24"/>
              </w:rPr>
            </w:pPr>
            <w:r w:rsidRPr="008A6E77">
              <w:rPr>
                <w:rFonts w:ascii="Times New Roman" w:hAnsi="Times New Roman" w:cs="Times New Roman"/>
                <w:b/>
                <w:sz w:val="24"/>
                <w:szCs w:val="24"/>
              </w:rPr>
              <w:t>Name of Suit</w:t>
            </w:r>
          </w:p>
        </w:tc>
        <w:tc>
          <w:tcPr>
            <w:tcW w:w="4788" w:type="dxa"/>
          </w:tcPr>
          <w:p w:rsidR="008A6E77" w:rsidRPr="008A6E77" w:rsidRDefault="008A6E77" w:rsidP="008A6E77">
            <w:pPr>
              <w:jc w:val="center"/>
              <w:rPr>
                <w:rFonts w:ascii="Times New Roman" w:hAnsi="Times New Roman" w:cs="Times New Roman"/>
                <w:b/>
                <w:sz w:val="24"/>
                <w:szCs w:val="24"/>
              </w:rPr>
            </w:pPr>
            <w:r w:rsidRPr="008A6E77">
              <w:rPr>
                <w:rFonts w:ascii="Times New Roman" w:hAnsi="Times New Roman" w:cs="Times New Roman"/>
                <w:b/>
                <w:sz w:val="24"/>
                <w:szCs w:val="24"/>
              </w:rPr>
              <w:t>Period of limitation</w:t>
            </w:r>
          </w:p>
        </w:tc>
      </w:tr>
      <w:tr w:rsidR="008A6E77" w:rsidTr="008A6E77">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1. Recover possession of immoveable property</w:t>
            </w:r>
          </w:p>
        </w:tc>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Within 6 months from the dispossession</w:t>
            </w:r>
          </w:p>
        </w:tc>
      </w:tr>
      <w:tr w:rsidR="008A6E77" w:rsidTr="008A6E77">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2. For the wage of laborer</w:t>
            </w:r>
          </w:p>
        </w:tc>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Within 1 years from the due date</w:t>
            </w:r>
          </w:p>
        </w:tc>
      </w:tr>
      <w:tr w:rsidR="008A6E77" w:rsidTr="008A6E77">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3. For compensation for false imprisonment</w:t>
            </w:r>
          </w:p>
        </w:tc>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Within 1 year from when the imprisonment ends</w:t>
            </w:r>
          </w:p>
        </w:tc>
      </w:tr>
      <w:tr w:rsidR="008A6E77" w:rsidTr="008A6E77">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4. Appeal against death penalty</w:t>
            </w:r>
          </w:p>
        </w:tc>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Within 7 days from the date of the sentence</w:t>
            </w:r>
          </w:p>
        </w:tc>
      </w:tr>
      <w:tr w:rsidR="008A6E77" w:rsidTr="008A6E77">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5. Appeal (Under the CPC) to the Court of District Judge</w:t>
            </w:r>
          </w:p>
        </w:tc>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Within 30 days from the date of the decree or order</w:t>
            </w:r>
          </w:p>
        </w:tc>
      </w:tr>
      <w:tr w:rsidR="008A6E77" w:rsidTr="008A6E77">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6. Appeal (Under the CPC) to the High Court Division</w:t>
            </w:r>
          </w:p>
        </w:tc>
        <w:tc>
          <w:tcPr>
            <w:tcW w:w="4788" w:type="dxa"/>
          </w:tcPr>
          <w:p w:rsidR="008A6E77" w:rsidRPr="008A6E77" w:rsidRDefault="008A6E77" w:rsidP="008A6E77">
            <w:pPr>
              <w:jc w:val="center"/>
              <w:rPr>
                <w:rFonts w:ascii="Times New Roman" w:hAnsi="Times New Roman" w:cs="Times New Roman"/>
                <w:sz w:val="24"/>
                <w:szCs w:val="24"/>
              </w:rPr>
            </w:pPr>
            <w:r w:rsidRPr="008A6E77">
              <w:rPr>
                <w:rFonts w:ascii="Times New Roman" w:hAnsi="Times New Roman" w:cs="Times New Roman"/>
                <w:sz w:val="24"/>
                <w:szCs w:val="24"/>
              </w:rPr>
              <w:t>Within 90 days from the date of the decree or order</w:t>
            </w:r>
          </w:p>
        </w:tc>
      </w:tr>
    </w:tbl>
    <w:p w:rsidR="008A6E77" w:rsidRDefault="008A6E77" w:rsidP="008A6E77">
      <w:pPr>
        <w:rPr>
          <w:rFonts w:ascii="Times New Roman" w:hAnsi="Times New Roman" w:cs="Times New Roman"/>
          <w:sz w:val="24"/>
          <w:szCs w:val="24"/>
          <w:u w:val="single"/>
        </w:rPr>
      </w:pPr>
    </w:p>
    <w:p w:rsidR="008A6E77" w:rsidRDefault="008A6E77" w:rsidP="008A6E77">
      <w:pPr>
        <w:rPr>
          <w:rFonts w:ascii="Times New Roman" w:hAnsi="Times New Roman" w:cs="Times New Roman"/>
          <w:sz w:val="24"/>
          <w:szCs w:val="24"/>
          <w:u w:val="single"/>
        </w:rPr>
      </w:pPr>
      <w:r w:rsidRPr="008A6E77">
        <w:rPr>
          <w:rFonts w:ascii="Times New Roman" w:hAnsi="Times New Roman" w:cs="Times New Roman"/>
          <w:sz w:val="24"/>
          <w:szCs w:val="24"/>
          <w:u w:val="single"/>
        </w:rPr>
        <w:t>Section: 5 (Extensi</w:t>
      </w:r>
      <w:r>
        <w:rPr>
          <w:rFonts w:ascii="Times New Roman" w:hAnsi="Times New Roman" w:cs="Times New Roman"/>
          <w:sz w:val="24"/>
          <w:szCs w:val="24"/>
          <w:u w:val="single"/>
        </w:rPr>
        <w:t>on of period in certain cases)</w:t>
      </w:r>
      <w:r>
        <w:rPr>
          <w:rFonts w:ascii="Times New Roman" w:hAnsi="Times New Roman" w:cs="Times New Roman"/>
          <w:sz w:val="24"/>
          <w:szCs w:val="24"/>
          <w:u w:val="single"/>
        </w:rPr>
        <w:br/>
      </w:r>
      <w:r w:rsidRPr="008A6E77">
        <w:rPr>
          <w:rFonts w:ascii="Times New Roman" w:hAnsi="Times New Roman" w:cs="Times New Roman"/>
          <w:sz w:val="24"/>
          <w:szCs w:val="24"/>
        </w:rPr>
        <w:t>Any appeal or application for a revision or a review of judgment or for leave to appeal may be admitted after the period of limitation prescribed therefor, when the appellant or applicant satisfies the Court that he had sufficient cause for not preferring the appeal or making the application within such period.</w:t>
      </w:r>
    </w:p>
    <w:p w:rsidR="008A6E77" w:rsidRDefault="008A6E77" w:rsidP="008A6E77">
      <w:pPr>
        <w:rPr>
          <w:rFonts w:ascii="Times New Roman" w:hAnsi="Times New Roman" w:cs="Times New Roman"/>
          <w:sz w:val="24"/>
          <w:szCs w:val="24"/>
        </w:rPr>
      </w:pPr>
      <w:r w:rsidRPr="00BE1488">
        <w:rPr>
          <w:rFonts w:ascii="Times New Roman" w:hAnsi="Times New Roman" w:cs="Times New Roman"/>
          <w:b/>
          <w:sz w:val="24"/>
          <w:szCs w:val="24"/>
          <w:u w:val="single"/>
        </w:rPr>
        <w:t>1. Doctrine of Laches</w:t>
      </w:r>
      <w:proofErr w:type="gramStart"/>
      <w:r w:rsidRPr="00BE1488">
        <w:rPr>
          <w:rFonts w:ascii="Times New Roman" w:hAnsi="Times New Roman" w:cs="Times New Roman"/>
          <w:b/>
          <w:sz w:val="24"/>
          <w:szCs w:val="24"/>
          <w:u w:val="single"/>
        </w:rPr>
        <w:t>:</w:t>
      </w:r>
      <w:proofErr w:type="gramEnd"/>
      <w:r>
        <w:rPr>
          <w:rFonts w:ascii="Times New Roman" w:hAnsi="Times New Roman" w:cs="Times New Roman"/>
          <w:sz w:val="24"/>
          <w:szCs w:val="24"/>
          <w:u w:val="single"/>
        </w:rPr>
        <w:br/>
      </w:r>
      <w:r w:rsidRPr="008A6E77">
        <w:rPr>
          <w:rFonts w:ascii="Times New Roman" w:hAnsi="Times New Roman" w:cs="Times New Roman"/>
          <w:sz w:val="24"/>
          <w:szCs w:val="24"/>
        </w:rPr>
        <w:t>Delay which is sufficient to prevent a party from obtaining an equitable remedy is technically called “Laches”. Thus legal claims are controlled by statutes of limitation and equitable claims may be controlled not only by limitation law but also</w:t>
      </w:r>
      <w:r>
        <w:rPr>
          <w:rFonts w:ascii="Times New Roman" w:hAnsi="Times New Roman" w:cs="Times New Roman"/>
          <w:sz w:val="24"/>
          <w:szCs w:val="24"/>
        </w:rPr>
        <w:t xml:space="preserve"> by unreasonable delay/laches.</w:t>
      </w:r>
      <w:r>
        <w:rPr>
          <w:rFonts w:ascii="Times New Roman" w:hAnsi="Times New Roman" w:cs="Times New Roman"/>
          <w:sz w:val="24"/>
          <w:szCs w:val="24"/>
        </w:rPr>
        <w:br/>
      </w:r>
      <w:r w:rsidRPr="008A6E77">
        <w:rPr>
          <w:rFonts w:ascii="Times New Roman" w:hAnsi="Times New Roman" w:cs="Times New Roman"/>
          <w:sz w:val="24"/>
          <w:szCs w:val="24"/>
        </w:rPr>
        <w:t>Where a long time has elapsed, even beyond the statutes of limitation, and the plaintiff has never insisted upon his rights and therefore doctrine of laches applied.</w:t>
      </w:r>
    </w:p>
    <w:p w:rsidR="008A6E77" w:rsidRDefault="008A6E77" w:rsidP="008A6E77">
      <w:pPr>
        <w:rPr>
          <w:rFonts w:ascii="Times New Roman" w:hAnsi="Times New Roman" w:cs="Times New Roman"/>
          <w:sz w:val="24"/>
          <w:szCs w:val="24"/>
        </w:rPr>
      </w:pPr>
    </w:p>
    <w:p w:rsidR="00BE1488" w:rsidRDefault="008A6E77" w:rsidP="00BE1488">
      <w:pPr>
        <w:rPr>
          <w:rFonts w:ascii="Times New Roman" w:hAnsi="Times New Roman" w:cs="Times New Roman"/>
          <w:sz w:val="24"/>
          <w:szCs w:val="24"/>
        </w:rPr>
      </w:pPr>
      <w:proofErr w:type="spellStart"/>
      <w:r w:rsidRPr="00BE1488">
        <w:rPr>
          <w:rFonts w:ascii="Times New Roman" w:hAnsi="Times New Roman" w:cs="Times New Roman"/>
          <w:b/>
          <w:i/>
          <w:sz w:val="24"/>
          <w:szCs w:val="24"/>
          <w:u w:val="single"/>
        </w:rPr>
        <w:t>Allcard</w:t>
      </w:r>
      <w:proofErr w:type="spellEnd"/>
      <w:r w:rsidRPr="00BE1488">
        <w:rPr>
          <w:rFonts w:ascii="Times New Roman" w:hAnsi="Times New Roman" w:cs="Times New Roman"/>
          <w:b/>
          <w:i/>
          <w:sz w:val="24"/>
          <w:szCs w:val="24"/>
          <w:u w:val="single"/>
        </w:rPr>
        <w:t xml:space="preserve"> v Skinner [1887</w:t>
      </w:r>
      <w:proofErr w:type="gramStart"/>
      <w:r w:rsidRPr="00BE1488">
        <w:rPr>
          <w:rFonts w:ascii="Times New Roman" w:hAnsi="Times New Roman" w:cs="Times New Roman"/>
          <w:b/>
          <w:i/>
          <w:sz w:val="24"/>
          <w:szCs w:val="24"/>
          <w:u w:val="single"/>
        </w:rPr>
        <w:t>]</w:t>
      </w:r>
      <w:proofErr w:type="gramEnd"/>
      <w:r>
        <w:rPr>
          <w:rFonts w:ascii="Times New Roman" w:hAnsi="Times New Roman" w:cs="Times New Roman"/>
          <w:sz w:val="24"/>
          <w:szCs w:val="24"/>
          <w:u w:val="single"/>
        </w:rPr>
        <w:br/>
      </w:r>
      <w:r w:rsidRPr="00BE1488">
        <w:rPr>
          <w:rFonts w:ascii="Times New Roman" w:hAnsi="Times New Roman" w:cs="Times New Roman"/>
          <w:b/>
          <w:sz w:val="24"/>
          <w:szCs w:val="24"/>
          <w:u w:val="single"/>
        </w:rPr>
        <w:t>Facts</w:t>
      </w:r>
      <w:r>
        <w:rPr>
          <w:rFonts w:ascii="Times New Roman" w:hAnsi="Times New Roman" w:cs="Times New Roman"/>
          <w:sz w:val="24"/>
          <w:szCs w:val="24"/>
          <w:u w:val="single"/>
        </w:rPr>
        <w:br/>
      </w:r>
      <w:r w:rsidRPr="008A6E77">
        <w:rPr>
          <w:rFonts w:ascii="Times New Roman" w:hAnsi="Times New Roman" w:cs="Times New Roman"/>
          <w:sz w:val="24"/>
          <w:szCs w:val="24"/>
        </w:rPr>
        <w:t xml:space="preserve">The Plaintiff (Miss </w:t>
      </w:r>
      <w:proofErr w:type="spellStart"/>
      <w:r w:rsidRPr="008A6E77">
        <w:rPr>
          <w:rFonts w:ascii="Times New Roman" w:hAnsi="Times New Roman" w:cs="Times New Roman"/>
          <w:sz w:val="24"/>
          <w:szCs w:val="24"/>
        </w:rPr>
        <w:t>Allcard</w:t>
      </w:r>
      <w:proofErr w:type="spellEnd"/>
      <w:r w:rsidRPr="008A6E77">
        <w:rPr>
          <w:rFonts w:ascii="Times New Roman" w:hAnsi="Times New Roman" w:cs="Times New Roman"/>
          <w:sz w:val="24"/>
          <w:szCs w:val="24"/>
        </w:rPr>
        <w:t>) joined a religious sisterhood, and subsequently transferred all of her assets to the sisterhood for social welfare under a will.</w:t>
      </w:r>
      <w:r w:rsidRPr="008A6E77">
        <w:rPr>
          <w:rFonts w:ascii="Times New Roman" w:hAnsi="Times New Roman" w:cs="Times New Roman"/>
          <w:sz w:val="24"/>
          <w:szCs w:val="24"/>
        </w:rPr>
        <w:br/>
        <w:t xml:space="preserve">When Miss </w:t>
      </w:r>
      <w:proofErr w:type="spellStart"/>
      <w:r w:rsidRPr="008A6E77">
        <w:rPr>
          <w:rFonts w:ascii="Times New Roman" w:hAnsi="Times New Roman" w:cs="Times New Roman"/>
          <w:sz w:val="24"/>
          <w:szCs w:val="24"/>
        </w:rPr>
        <w:t>Allcard</w:t>
      </w:r>
      <w:proofErr w:type="spellEnd"/>
      <w:r w:rsidRPr="008A6E77">
        <w:rPr>
          <w:rFonts w:ascii="Times New Roman" w:hAnsi="Times New Roman" w:cs="Times New Roman"/>
          <w:sz w:val="24"/>
          <w:szCs w:val="24"/>
        </w:rPr>
        <w:t xml:space="preserve"> left the Sisterhood about eight years later she immediately </w:t>
      </w:r>
      <w:proofErr w:type="spellStart"/>
      <w:r w:rsidRPr="008A6E77">
        <w:rPr>
          <w:rFonts w:ascii="Times New Roman" w:hAnsi="Times New Roman" w:cs="Times New Roman"/>
          <w:sz w:val="24"/>
          <w:szCs w:val="24"/>
        </w:rPr>
        <w:t>revocked</w:t>
      </w:r>
      <w:proofErr w:type="spellEnd"/>
      <w:r w:rsidRPr="008A6E77">
        <w:rPr>
          <w:rFonts w:ascii="Times New Roman" w:hAnsi="Times New Roman" w:cs="Times New Roman"/>
          <w:sz w:val="24"/>
          <w:szCs w:val="24"/>
        </w:rPr>
        <w:t xml:space="preserve"> her will but waited a further 6 years before commencing an action to recover what was left of the money given to the Sisterhood.</w:t>
      </w:r>
      <w:r>
        <w:rPr>
          <w:rFonts w:ascii="Times New Roman" w:hAnsi="Times New Roman" w:cs="Times New Roman"/>
          <w:sz w:val="24"/>
          <w:szCs w:val="24"/>
        </w:rPr>
        <w:br/>
      </w:r>
      <w:r w:rsidR="00BE1488" w:rsidRPr="00BE1488">
        <w:rPr>
          <w:rFonts w:ascii="Times New Roman" w:hAnsi="Times New Roman" w:cs="Times New Roman"/>
          <w:b/>
          <w:sz w:val="24"/>
          <w:szCs w:val="24"/>
          <w:u w:val="single"/>
        </w:rPr>
        <w:t>Issue</w:t>
      </w:r>
      <w:proofErr w:type="gramStart"/>
      <w:r w:rsidR="00BE1488" w:rsidRPr="00BE1488">
        <w:rPr>
          <w:rFonts w:ascii="Times New Roman" w:hAnsi="Times New Roman" w:cs="Times New Roman"/>
          <w:b/>
          <w:sz w:val="24"/>
          <w:szCs w:val="24"/>
          <w:u w:val="single"/>
        </w:rPr>
        <w:t>:</w:t>
      </w:r>
      <w:proofErr w:type="gramEnd"/>
      <w:r w:rsidR="00BE1488">
        <w:rPr>
          <w:rFonts w:ascii="Times New Roman" w:hAnsi="Times New Roman" w:cs="Times New Roman"/>
          <w:sz w:val="24"/>
          <w:szCs w:val="24"/>
        </w:rPr>
        <w:br/>
      </w:r>
      <w:r w:rsidR="00BE1488" w:rsidRPr="00BE1488">
        <w:rPr>
          <w:rFonts w:ascii="Times New Roman" w:hAnsi="Times New Roman" w:cs="Times New Roman"/>
          <w:sz w:val="24"/>
          <w:szCs w:val="24"/>
        </w:rPr>
        <w:t xml:space="preserve">Whether the plaintiff is entitled to set </w:t>
      </w:r>
      <w:proofErr w:type="spellStart"/>
      <w:r w:rsidR="00BE1488" w:rsidRPr="00BE1488">
        <w:rPr>
          <w:rFonts w:ascii="Times New Roman" w:hAnsi="Times New Roman" w:cs="Times New Roman"/>
          <w:sz w:val="24"/>
          <w:szCs w:val="24"/>
        </w:rPr>
        <w:t>asside</w:t>
      </w:r>
      <w:proofErr w:type="spellEnd"/>
      <w:r w:rsidR="00BE1488" w:rsidRPr="00BE1488">
        <w:rPr>
          <w:rFonts w:ascii="Times New Roman" w:hAnsi="Times New Roman" w:cs="Times New Roman"/>
          <w:sz w:val="24"/>
          <w:szCs w:val="24"/>
        </w:rPr>
        <w:t xml:space="preserve"> the </w:t>
      </w:r>
      <w:r w:rsidR="00BE1488">
        <w:rPr>
          <w:rFonts w:ascii="Times New Roman" w:hAnsi="Times New Roman" w:cs="Times New Roman"/>
          <w:sz w:val="24"/>
          <w:szCs w:val="24"/>
        </w:rPr>
        <w:t>will and recover the property?</w:t>
      </w:r>
      <w:r w:rsidR="00BE1488">
        <w:rPr>
          <w:rFonts w:ascii="Times New Roman" w:hAnsi="Times New Roman" w:cs="Times New Roman"/>
          <w:sz w:val="24"/>
          <w:szCs w:val="24"/>
        </w:rPr>
        <w:br/>
      </w:r>
      <w:r w:rsidR="00BE1488" w:rsidRPr="00BE1488">
        <w:rPr>
          <w:rFonts w:ascii="Times New Roman" w:hAnsi="Times New Roman" w:cs="Times New Roman"/>
          <w:b/>
          <w:sz w:val="24"/>
          <w:szCs w:val="24"/>
          <w:u w:val="single"/>
        </w:rPr>
        <w:t>Decision</w:t>
      </w:r>
      <w:proofErr w:type="gramStart"/>
      <w:r w:rsidR="00BE1488" w:rsidRPr="00BE1488">
        <w:rPr>
          <w:rFonts w:ascii="Times New Roman" w:hAnsi="Times New Roman" w:cs="Times New Roman"/>
          <w:b/>
          <w:sz w:val="24"/>
          <w:szCs w:val="24"/>
          <w:u w:val="single"/>
        </w:rPr>
        <w:t>:</w:t>
      </w:r>
      <w:proofErr w:type="gramEnd"/>
      <w:r w:rsidR="00BE1488" w:rsidRPr="00BE1488">
        <w:rPr>
          <w:rFonts w:ascii="Times New Roman" w:hAnsi="Times New Roman" w:cs="Times New Roman"/>
          <w:sz w:val="24"/>
          <w:szCs w:val="24"/>
        </w:rPr>
        <w:br/>
        <w:t xml:space="preserve">The appeal was heard by a bench of 3 </w:t>
      </w:r>
      <w:r w:rsidR="00BE1488">
        <w:rPr>
          <w:rFonts w:ascii="Times New Roman" w:hAnsi="Times New Roman" w:cs="Times New Roman"/>
          <w:sz w:val="24"/>
          <w:szCs w:val="24"/>
        </w:rPr>
        <w:t>Justices:</w:t>
      </w:r>
      <w:r w:rsidR="00BE1488">
        <w:rPr>
          <w:rFonts w:ascii="Times New Roman" w:hAnsi="Times New Roman" w:cs="Times New Roman"/>
          <w:sz w:val="24"/>
          <w:szCs w:val="24"/>
        </w:rPr>
        <w:br/>
      </w:r>
      <w:r w:rsidR="00BE1488" w:rsidRPr="00BE1488">
        <w:rPr>
          <w:rFonts w:ascii="Times New Roman" w:hAnsi="Times New Roman" w:cs="Times New Roman"/>
          <w:sz w:val="24"/>
          <w:szCs w:val="24"/>
        </w:rPr>
        <w:t>1. Justice Colton (He was on the opinion that in regards to the property which was still in the hands of the done</w:t>
      </w:r>
      <w:r w:rsidR="003C4889">
        <w:rPr>
          <w:rFonts w:ascii="Times New Roman" w:hAnsi="Times New Roman" w:cs="Times New Roman"/>
          <w:sz w:val="24"/>
          <w:szCs w:val="24"/>
        </w:rPr>
        <w:t>e</w:t>
      </w:r>
      <w:r w:rsidR="00BE1488" w:rsidRPr="00BE1488">
        <w:rPr>
          <w:rFonts w:ascii="Times New Roman" w:hAnsi="Times New Roman" w:cs="Times New Roman"/>
          <w:sz w:val="24"/>
          <w:szCs w:val="24"/>
        </w:rPr>
        <w:t>, the plaintiff could recover the Property)</w:t>
      </w:r>
      <w:r w:rsidR="00BE1488">
        <w:rPr>
          <w:rFonts w:ascii="Times New Roman" w:hAnsi="Times New Roman" w:cs="Times New Roman"/>
          <w:sz w:val="24"/>
          <w:szCs w:val="24"/>
        </w:rPr>
        <w:br/>
      </w:r>
      <w:r w:rsidR="00BE1488" w:rsidRPr="00BE1488">
        <w:rPr>
          <w:rFonts w:ascii="Times New Roman" w:hAnsi="Times New Roman" w:cs="Times New Roman"/>
          <w:sz w:val="24"/>
          <w:szCs w:val="24"/>
        </w:rPr>
        <w:t>2. Justice Lindley (He was of the opinion that the plaintiff’s inaction for 6 years after she left the Sisterhood indicated her intention to confirm the gift. Doctrine of laches thus disentitled h</w:t>
      </w:r>
      <w:r w:rsidR="00BE1488">
        <w:rPr>
          <w:rFonts w:ascii="Times New Roman" w:hAnsi="Times New Roman" w:cs="Times New Roman"/>
          <w:sz w:val="24"/>
          <w:szCs w:val="24"/>
        </w:rPr>
        <w:t>er from claiming the property</w:t>
      </w:r>
      <w:proofErr w:type="gramStart"/>
      <w:r w:rsidR="00BE1488">
        <w:rPr>
          <w:rFonts w:ascii="Times New Roman" w:hAnsi="Times New Roman" w:cs="Times New Roman"/>
          <w:sz w:val="24"/>
          <w:szCs w:val="24"/>
        </w:rPr>
        <w:t>)</w:t>
      </w:r>
      <w:bookmarkStart w:id="0" w:name="_GoBack"/>
      <w:bookmarkEnd w:id="0"/>
      <w:proofErr w:type="gramEnd"/>
      <w:r w:rsidR="00BE1488">
        <w:rPr>
          <w:rFonts w:ascii="Times New Roman" w:hAnsi="Times New Roman" w:cs="Times New Roman"/>
          <w:sz w:val="24"/>
          <w:szCs w:val="24"/>
        </w:rPr>
        <w:br/>
      </w:r>
      <w:r w:rsidR="00BE1488" w:rsidRPr="00BE1488">
        <w:rPr>
          <w:rFonts w:ascii="Times New Roman" w:hAnsi="Times New Roman" w:cs="Times New Roman"/>
          <w:sz w:val="24"/>
          <w:szCs w:val="24"/>
        </w:rPr>
        <w:t>3. Justice Bowen (He agreed with Justice Lindley</w:t>
      </w:r>
      <w:proofErr w:type="gramStart"/>
      <w:r w:rsidR="00BE1488" w:rsidRPr="00BE1488">
        <w:rPr>
          <w:rFonts w:ascii="Times New Roman" w:hAnsi="Times New Roman" w:cs="Times New Roman"/>
          <w:sz w:val="24"/>
          <w:szCs w:val="24"/>
        </w:rPr>
        <w:t>)</w:t>
      </w:r>
      <w:proofErr w:type="gramEnd"/>
      <w:r w:rsidR="00BE1488">
        <w:rPr>
          <w:rFonts w:ascii="Times New Roman" w:hAnsi="Times New Roman" w:cs="Times New Roman"/>
          <w:sz w:val="24"/>
          <w:szCs w:val="24"/>
        </w:rPr>
        <w:br/>
      </w:r>
      <w:r w:rsidR="00BE1488" w:rsidRPr="00BE1488">
        <w:rPr>
          <w:rFonts w:ascii="Times New Roman" w:hAnsi="Times New Roman" w:cs="Times New Roman"/>
          <w:sz w:val="24"/>
          <w:szCs w:val="24"/>
        </w:rPr>
        <w:t>It was held that if the plaintiff had sued to recover the amount of her gifts which had not been expended on the fulfillment of the purpose of the Sisterhood at an earlier date she would have succeeded on the ground of undue influence, but it was her inactions t</w:t>
      </w:r>
      <w:r w:rsidR="00BE1488">
        <w:rPr>
          <w:rFonts w:ascii="Times New Roman" w:hAnsi="Times New Roman" w:cs="Times New Roman"/>
          <w:sz w:val="24"/>
          <w:szCs w:val="24"/>
        </w:rPr>
        <w:t xml:space="preserve">hat barred her claim by laches. </w:t>
      </w:r>
      <w:r w:rsidR="00BE1488" w:rsidRPr="00BE1488">
        <w:rPr>
          <w:rFonts w:ascii="Times New Roman" w:hAnsi="Times New Roman" w:cs="Times New Roman"/>
          <w:sz w:val="24"/>
          <w:szCs w:val="24"/>
        </w:rPr>
        <w:t xml:space="preserve">The transaction was unusually large as to be accounted </w:t>
      </w:r>
      <w:proofErr w:type="gramStart"/>
      <w:r w:rsidR="00BE1488" w:rsidRPr="00BE1488">
        <w:rPr>
          <w:rFonts w:ascii="Times New Roman" w:hAnsi="Times New Roman" w:cs="Times New Roman"/>
          <w:sz w:val="24"/>
          <w:szCs w:val="24"/>
        </w:rPr>
        <w:t>for,</w:t>
      </w:r>
      <w:proofErr w:type="gramEnd"/>
      <w:r w:rsidR="00BE1488" w:rsidRPr="00BE1488">
        <w:rPr>
          <w:rFonts w:ascii="Times New Roman" w:hAnsi="Times New Roman" w:cs="Times New Roman"/>
          <w:sz w:val="24"/>
          <w:szCs w:val="24"/>
        </w:rPr>
        <w:t xml:space="preserve"> the lapse of time barred the claim from succeeding.</w:t>
      </w:r>
    </w:p>
    <w:p w:rsidR="00BE1488" w:rsidRDefault="00BE1488" w:rsidP="00BE1488">
      <w:pPr>
        <w:rPr>
          <w:rFonts w:ascii="Times New Roman" w:hAnsi="Times New Roman" w:cs="Times New Roman"/>
          <w:sz w:val="24"/>
          <w:szCs w:val="24"/>
        </w:rPr>
      </w:pPr>
      <w:r w:rsidRPr="00BE1488">
        <w:rPr>
          <w:rFonts w:ascii="Times New Roman" w:hAnsi="Times New Roman" w:cs="Times New Roman"/>
          <w:b/>
          <w:sz w:val="24"/>
          <w:szCs w:val="24"/>
          <w:u w:val="single"/>
        </w:rPr>
        <w:t>2. Doctrine of Acquiescence</w:t>
      </w:r>
      <w:r>
        <w:rPr>
          <w:rFonts w:ascii="Times New Roman" w:hAnsi="Times New Roman" w:cs="Times New Roman"/>
          <w:sz w:val="24"/>
          <w:szCs w:val="24"/>
        </w:rPr>
        <w:br/>
      </w:r>
      <w:r w:rsidRPr="00BE1488">
        <w:rPr>
          <w:rFonts w:ascii="Times New Roman" w:hAnsi="Times New Roman" w:cs="Times New Roman"/>
          <w:sz w:val="24"/>
          <w:szCs w:val="24"/>
        </w:rPr>
        <w:t xml:space="preserve">In </w:t>
      </w:r>
      <w:proofErr w:type="spellStart"/>
      <w:r w:rsidRPr="00BE1488">
        <w:rPr>
          <w:rFonts w:ascii="Times New Roman" w:hAnsi="Times New Roman" w:cs="Times New Roman"/>
          <w:sz w:val="24"/>
          <w:szCs w:val="24"/>
        </w:rPr>
        <w:t>Ramsden</w:t>
      </w:r>
      <w:proofErr w:type="spellEnd"/>
      <w:r w:rsidRPr="00BE1488">
        <w:rPr>
          <w:rFonts w:ascii="Times New Roman" w:hAnsi="Times New Roman" w:cs="Times New Roman"/>
          <w:sz w:val="24"/>
          <w:szCs w:val="24"/>
        </w:rPr>
        <w:t xml:space="preserve"> </w:t>
      </w:r>
      <w:proofErr w:type="spellStart"/>
      <w:r w:rsidRPr="00BE1488">
        <w:rPr>
          <w:rFonts w:ascii="Times New Roman" w:hAnsi="Times New Roman" w:cs="Times New Roman"/>
          <w:sz w:val="24"/>
          <w:szCs w:val="24"/>
        </w:rPr>
        <w:t>vs</w:t>
      </w:r>
      <w:proofErr w:type="spellEnd"/>
      <w:r w:rsidRPr="00BE1488">
        <w:rPr>
          <w:rFonts w:ascii="Times New Roman" w:hAnsi="Times New Roman" w:cs="Times New Roman"/>
          <w:sz w:val="24"/>
          <w:szCs w:val="24"/>
        </w:rPr>
        <w:t xml:space="preserve"> Dyson (1866), Lord </w:t>
      </w:r>
      <w:proofErr w:type="spellStart"/>
      <w:r w:rsidRPr="00BE1488">
        <w:rPr>
          <w:rFonts w:ascii="Times New Roman" w:hAnsi="Times New Roman" w:cs="Times New Roman"/>
          <w:sz w:val="24"/>
          <w:szCs w:val="24"/>
        </w:rPr>
        <w:t>Cranworth</w:t>
      </w:r>
      <w:proofErr w:type="spellEnd"/>
      <w:r w:rsidRPr="00BE1488">
        <w:rPr>
          <w:rFonts w:ascii="Times New Roman" w:hAnsi="Times New Roman" w:cs="Times New Roman"/>
          <w:sz w:val="24"/>
          <w:szCs w:val="24"/>
        </w:rPr>
        <w:t xml:space="preserve"> explained the doctrine as “If a stranger begins to build a on my land supposing it to be his own, and I, perceiving his mistake, abstain from claiming my right and leave him to persevere his error, a court of equity will not allow me afterwards to asserts my title to the land on which he has expended money on the supposition that the land was his own.”</w:t>
      </w:r>
    </w:p>
    <w:p w:rsidR="00BE1488" w:rsidRPr="00BE1488" w:rsidRDefault="00BE1488" w:rsidP="00BE1488">
      <w:pPr>
        <w:rPr>
          <w:rFonts w:ascii="Times New Roman" w:hAnsi="Times New Roman" w:cs="Times New Roman"/>
          <w:sz w:val="24"/>
          <w:szCs w:val="24"/>
          <w:u w:val="single"/>
        </w:rPr>
      </w:pPr>
      <w:r>
        <w:rPr>
          <w:rFonts w:ascii="Times New Roman" w:hAnsi="Times New Roman" w:cs="Times New Roman"/>
          <w:sz w:val="24"/>
          <w:szCs w:val="24"/>
          <w:u w:val="single"/>
        </w:rPr>
        <w:t>Limitation</w:t>
      </w:r>
      <w:r>
        <w:rPr>
          <w:rFonts w:ascii="Times New Roman" w:hAnsi="Times New Roman" w:cs="Times New Roman"/>
          <w:sz w:val="24"/>
          <w:szCs w:val="24"/>
          <w:u w:val="single"/>
        </w:rPr>
        <w:br/>
      </w:r>
      <w:r w:rsidRPr="00BE1488">
        <w:rPr>
          <w:rFonts w:ascii="Times New Roman" w:hAnsi="Times New Roman" w:cs="Times New Roman"/>
          <w:sz w:val="24"/>
          <w:szCs w:val="24"/>
        </w:rPr>
        <w:t>This maxim does not apply when</w:t>
      </w:r>
      <w:proofErr w:type="gramStart"/>
      <w:r w:rsidRPr="00BE1488">
        <w:rPr>
          <w:rFonts w:ascii="Times New Roman" w:hAnsi="Times New Roman" w:cs="Times New Roman"/>
          <w:sz w:val="24"/>
          <w:szCs w:val="24"/>
        </w:rPr>
        <w:t>:</w:t>
      </w:r>
      <w:proofErr w:type="gramEnd"/>
      <w:r>
        <w:rPr>
          <w:rFonts w:ascii="Times New Roman" w:hAnsi="Times New Roman" w:cs="Times New Roman"/>
          <w:sz w:val="24"/>
          <w:szCs w:val="24"/>
          <w:u w:val="single"/>
        </w:rPr>
        <w:br/>
      </w:r>
      <w:r w:rsidRPr="00BE1488">
        <w:rPr>
          <w:rFonts w:ascii="Times New Roman" w:hAnsi="Times New Roman" w:cs="Times New Roman"/>
          <w:sz w:val="24"/>
          <w:szCs w:val="24"/>
        </w:rPr>
        <w:t>(i) where the law of limitation expressly applies</w:t>
      </w:r>
      <w:r>
        <w:rPr>
          <w:rFonts w:ascii="Times New Roman" w:hAnsi="Times New Roman" w:cs="Times New Roman"/>
          <w:sz w:val="24"/>
          <w:szCs w:val="24"/>
          <w:u w:val="single"/>
        </w:rPr>
        <w:br/>
      </w:r>
      <w:r w:rsidRPr="00BE1488">
        <w:rPr>
          <w:rFonts w:ascii="Times New Roman" w:hAnsi="Times New Roman" w:cs="Times New Roman"/>
          <w:sz w:val="24"/>
          <w:szCs w:val="24"/>
        </w:rPr>
        <w:t>(ii) where it applies by analogy, and</w:t>
      </w:r>
      <w:r>
        <w:rPr>
          <w:rFonts w:ascii="Times New Roman" w:hAnsi="Times New Roman" w:cs="Times New Roman"/>
          <w:sz w:val="24"/>
          <w:szCs w:val="24"/>
          <w:u w:val="single"/>
        </w:rPr>
        <w:br/>
      </w:r>
      <w:r w:rsidRPr="00BE1488">
        <w:rPr>
          <w:rFonts w:ascii="Times New Roman" w:hAnsi="Times New Roman" w:cs="Times New Roman"/>
          <w:sz w:val="24"/>
          <w:szCs w:val="24"/>
        </w:rPr>
        <w:t>(iii) where the law of limitation does not apply but the cases are governed by ordinary rules of laches.</w:t>
      </w:r>
    </w:p>
    <w:sectPr w:rsidR="00BE1488" w:rsidRPr="00BE1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39"/>
    <w:rsid w:val="003C4889"/>
    <w:rsid w:val="008A6E77"/>
    <w:rsid w:val="008E5617"/>
    <w:rsid w:val="00920239"/>
    <w:rsid w:val="00BB62F2"/>
    <w:rsid w:val="00BE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6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6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4</cp:revision>
  <dcterms:created xsi:type="dcterms:W3CDTF">2018-06-03T09:23:00Z</dcterms:created>
  <dcterms:modified xsi:type="dcterms:W3CDTF">2018-06-07T03:52:00Z</dcterms:modified>
</cp:coreProperties>
</file>