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4A" w:rsidRPr="00941A4A" w:rsidRDefault="00941A4A" w:rsidP="00941A4A">
      <w:pPr>
        <w:rPr>
          <w:rFonts w:ascii="Edwardian Script ITC" w:hAnsi="Edwardian Script ITC" w:cs="Times New Roman"/>
          <w:b/>
          <w:sz w:val="56"/>
          <w:szCs w:val="24"/>
        </w:rPr>
      </w:pPr>
      <w:bookmarkStart w:id="0" w:name="_GoBack"/>
      <w:bookmarkEnd w:id="0"/>
      <w:r w:rsidRPr="00941A4A">
        <w:rPr>
          <w:rFonts w:ascii="Edwardian Script ITC" w:hAnsi="Edwardian Script ITC" w:cs="Times New Roman"/>
          <w:b/>
          <w:sz w:val="56"/>
          <w:szCs w:val="24"/>
        </w:rPr>
        <w:t>Equity looks on that, as done which ought to be done</w:t>
      </w:r>
    </w:p>
    <w:p w:rsidR="00941A4A" w:rsidRPr="00941A4A" w:rsidRDefault="00941A4A" w:rsidP="00941A4A">
      <w:pPr>
        <w:rPr>
          <w:rFonts w:ascii="Times New Roman" w:hAnsi="Times New Roman" w:cs="Times New Roman"/>
          <w:sz w:val="24"/>
          <w:szCs w:val="24"/>
        </w:rPr>
      </w:pPr>
    </w:p>
    <w:p w:rsidR="00941A4A" w:rsidRPr="00941A4A" w:rsidRDefault="00941A4A" w:rsidP="00941A4A">
      <w:pPr>
        <w:rPr>
          <w:rFonts w:ascii="Times New Roman" w:hAnsi="Times New Roman" w:cs="Times New Roman"/>
          <w:sz w:val="24"/>
          <w:szCs w:val="24"/>
        </w:rPr>
      </w:pPr>
      <w:r w:rsidRPr="00941A4A">
        <w:rPr>
          <w:rFonts w:ascii="Times New Roman" w:hAnsi="Times New Roman" w:cs="Times New Roman"/>
          <w:sz w:val="24"/>
          <w:szCs w:val="24"/>
        </w:rPr>
        <w:t>If A makes T trustee leaving 50,000 Taka to purchase a land for the use of B. T does not purchase the land and by the time, B dies leaving all immovable property to X and all movable property to Y. Now, who should get the 50,000 Taka? Equity in such cases would definitely regard the purchase of land which ought to have been made as made. The money thus goes to X.</w:t>
      </w:r>
    </w:p>
    <w:p w:rsidR="00941A4A" w:rsidRPr="00941A4A" w:rsidRDefault="00941A4A" w:rsidP="00941A4A">
      <w:pPr>
        <w:rPr>
          <w:rFonts w:ascii="Times New Roman" w:hAnsi="Times New Roman" w:cs="Times New Roman"/>
          <w:sz w:val="24"/>
          <w:szCs w:val="24"/>
        </w:rPr>
      </w:pPr>
      <w:r w:rsidRPr="00941A4A">
        <w:rPr>
          <w:rFonts w:ascii="Times New Roman" w:hAnsi="Times New Roman" w:cs="Times New Roman"/>
          <w:sz w:val="24"/>
          <w:szCs w:val="24"/>
        </w:rPr>
        <w:t>If someone undertakes an obligation for the other, equity courts look on it as done and as producing the same results as if the obligation had been actually performed. When a person undertakes any obligation upon himself with his conscience, it becomes his legal and moral duty to fulfill the obligation.</w:t>
      </w:r>
    </w:p>
    <w:p w:rsidR="00941A4A" w:rsidRPr="00941A4A" w:rsidRDefault="00941A4A" w:rsidP="00941A4A">
      <w:pPr>
        <w:rPr>
          <w:rFonts w:ascii="Times New Roman" w:hAnsi="Times New Roman" w:cs="Times New Roman"/>
          <w:sz w:val="24"/>
          <w:szCs w:val="24"/>
        </w:rPr>
      </w:pPr>
      <w:r w:rsidRPr="00941A4A">
        <w:rPr>
          <w:rFonts w:ascii="Times New Roman" w:hAnsi="Times New Roman" w:cs="Times New Roman"/>
          <w:sz w:val="24"/>
          <w:szCs w:val="24"/>
        </w:rPr>
        <w:t>From this aspect, equity looks on the conscience of the person because circumstance can be changed, parties can be dead but the conscience reflects the real intention of taking such obligation and it must be fulfilled as it is ought, not in any similar method.</w:t>
      </w:r>
    </w:p>
    <w:p w:rsidR="00941A4A" w:rsidRPr="00941A4A" w:rsidRDefault="00941A4A" w:rsidP="00941A4A">
      <w:pPr>
        <w:rPr>
          <w:rFonts w:ascii="Times New Roman" w:hAnsi="Times New Roman" w:cs="Times New Roman"/>
          <w:i/>
          <w:sz w:val="24"/>
          <w:szCs w:val="24"/>
          <w:u w:val="single"/>
        </w:rPr>
      </w:pPr>
      <w:r w:rsidRPr="00941A4A">
        <w:rPr>
          <w:rFonts w:ascii="Times New Roman" w:hAnsi="Times New Roman" w:cs="Times New Roman"/>
          <w:i/>
          <w:sz w:val="24"/>
          <w:szCs w:val="24"/>
          <w:u w:val="single"/>
        </w:rPr>
        <w:t xml:space="preserve">Walsh </w:t>
      </w:r>
      <w:proofErr w:type="spellStart"/>
      <w:r w:rsidRPr="00941A4A">
        <w:rPr>
          <w:rFonts w:ascii="Times New Roman" w:hAnsi="Times New Roman" w:cs="Times New Roman"/>
          <w:i/>
          <w:sz w:val="24"/>
          <w:szCs w:val="24"/>
          <w:u w:val="single"/>
        </w:rPr>
        <w:t>Vs</w:t>
      </w:r>
      <w:proofErr w:type="spellEnd"/>
      <w:r w:rsidRPr="00941A4A">
        <w:rPr>
          <w:rFonts w:ascii="Times New Roman" w:hAnsi="Times New Roman" w:cs="Times New Roman"/>
          <w:i/>
          <w:sz w:val="24"/>
          <w:szCs w:val="24"/>
          <w:u w:val="single"/>
        </w:rPr>
        <w:t xml:space="preserve"> Lonsdale, (1882)</w:t>
      </w:r>
      <w:r w:rsidRPr="00941A4A">
        <w:rPr>
          <w:rFonts w:ascii="Times New Roman" w:hAnsi="Times New Roman" w:cs="Times New Roman"/>
          <w:i/>
          <w:sz w:val="24"/>
          <w:szCs w:val="24"/>
          <w:u w:val="single"/>
        </w:rPr>
        <w:br/>
      </w:r>
      <w:r w:rsidRPr="00941A4A">
        <w:rPr>
          <w:rFonts w:ascii="Times New Roman" w:hAnsi="Times New Roman" w:cs="Times New Roman"/>
          <w:sz w:val="24"/>
          <w:szCs w:val="24"/>
        </w:rPr>
        <w:t>A person who enters into possession of land under a specifically enforceable agreement for lease, is regarded in any court having jurisdiction to enforce it as being in the same position as between himself and the other party to the agreement as if the lease had actually been granted to him.</w:t>
      </w:r>
    </w:p>
    <w:p w:rsidR="00941A4A" w:rsidRPr="00941A4A" w:rsidRDefault="00941A4A" w:rsidP="00941A4A">
      <w:pPr>
        <w:rPr>
          <w:rFonts w:ascii="Times New Roman" w:hAnsi="Times New Roman" w:cs="Times New Roman"/>
          <w:b/>
          <w:sz w:val="24"/>
          <w:szCs w:val="24"/>
          <w:u w:val="single"/>
        </w:rPr>
      </w:pPr>
      <w:r w:rsidRPr="00941A4A">
        <w:rPr>
          <w:rFonts w:ascii="Times New Roman" w:hAnsi="Times New Roman" w:cs="Times New Roman"/>
          <w:b/>
          <w:sz w:val="28"/>
          <w:szCs w:val="28"/>
          <w:u w:val="single"/>
        </w:rPr>
        <w:t>Application</w:t>
      </w:r>
      <w:r w:rsidRPr="00941A4A">
        <w:rPr>
          <w:rFonts w:ascii="Times New Roman" w:hAnsi="Times New Roman" w:cs="Times New Roman"/>
          <w:b/>
          <w:sz w:val="24"/>
          <w:szCs w:val="24"/>
          <w:u w:val="single"/>
        </w:rPr>
        <w:br/>
      </w:r>
      <w:r w:rsidRPr="00941A4A">
        <w:rPr>
          <w:rFonts w:ascii="Times New Roman" w:hAnsi="Times New Roman" w:cs="Times New Roman"/>
          <w:sz w:val="24"/>
          <w:szCs w:val="24"/>
        </w:rPr>
        <w:t>The application and working of this maxim can be well-examined from the following instance</w:t>
      </w:r>
      <w:proofErr w:type="gramStart"/>
      <w:r w:rsidRPr="00941A4A">
        <w:rPr>
          <w:rFonts w:ascii="Times New Roman" w:hAnsi="Times New Roman" w:cs="Times New Roman"/>
          <w:sz w:val="24"/>
          <w:szCs w:val="24"/>
        </w:rPr>
        <w:t>:</w:t>
      </w:r>
      <w:proofErr w:type="gramEnd"/>
      <w:r w:rsidRPr="00941A4A">
        <w:rPr>
          <w:rFonts w:ascii="Times New Roman" w:hAnsi="Times New Roman" w:cs="Times New Roman"/>
          <w:b/>
          <w:sz w:val="24"/>
          <w:szCs w:val="24"/>
          <w:u w:val="single"/>
        </w:rPr>
        <w:br/>
      </w:r>
      <w:r w:rsidRPr="00941A4A">
        <w:rPr>
          <w:rFonts w:ascii="Times New Roman" w:hAnsi="Times New Roman" w:cs="Times New Roman"/>
          <w:sz w:val="24"/>
          <w:szCs w:val="24"/>
        </w:rPr>
        <w:t>(i) Doctrine of conversion</w:t>
      </w:r>
      <w:r w:rsidRPr="00941A4A">
        <w:rPr>
          <w:rFonts w:ascii="Times New Roman" w:hAnsi="Times New Roman" w:cs="Times New Roman"/>
          <w:b/>
          <w:sz w:val="24"/>
          <w:szCs w:val="24"/>
          <w:u w:val="single"/>
        </w:rPr>
        <w:br/>
      </w:r>
      <w:r w:rsidRPr="00941A4A">
        <w:rPr>
          <w:rFonts w:ascii="Times New Roman" w:hAnsi="Times New Roman" w:cs="Times New Roman"/>
          <w:sz w:val="24"/>
          <w:szCs w:val="24"/>
        </w:rPr>
        <w:t xml:space="preserve">(ii) </w:t>
      </w:r>
      <w:proofErr w:type="spellStart"/>
      <w:r w:rsidRPr="00941A4A">
        <w:rPr>
          <w:rFonts w:ascii="Times New Roman" w:hAnsi="Times New Roman" w:cs="Times New Roman"/>
          <w:sz w:val="24"/>
          <w:szCs w:val="24"/>
        </w:rPr>
        <w:t>Executory</w:t>
      </w:r>
      <w:proofErr w:type="spellEnd"/>
      <w:r w:rsidRPr="00941A4A">
        <w:rPr>
          <w:rFonts w:ascii="Times New Roman" w:hAnsi="Times New Roman" w:cs="Times New Roman"/>
          <w:sz w:val="24"/>
          <w:szCs w:val="24"/>
        </w:rPr>
        <w:t xml:space="preserve"> contracts</w:t>
      </w:r>
      <w:r w:rsidRPr="00941A4A">
        <w:rPr>
          <w:rFonts w:ascii="Times New Roman" w:hAnsi="Times New Roman" w:cs="Times New Roman"/>
          <w:b/>
          <w:sz w:val="24"/>
          <w:szCs w:val="24"/>
          <w:u w:val="single"/>
        </w:rPr>
        <w:br/>
      </w:r>
      <w:r w:rsidRPr="00941A4A">
        <w:rPr>
          <w:rFonts w:ascii="Times New Roman" w:hAnsi="Times New Roman" w:cs="Times New Roman"/>
          <w:sz w:val="24"/>
          <w:szCs w:val="24"/>
        </w:rPr>
        <w:t>(iii) Doctrine of part performance</w:t>
      </w:r>
    </w:p>
    <w:p w:rsidR="00941A4A" w:rsidRPr="00941A4A" w:rsidRDefault="00941A4A" w:rsidP="00941A4A">
      <w:pPr>
        <w:rPr>
          <w:rFonts w:ascii="Times New Roman" w:hAnsi="Times New Roman" w:cs="Times New Roman"/>
          <w:sz w:val="24"/>
          <w:szCs w:val="24"/>
          <w:u w:val="single"/>
        </w:rPr>
      </w:pPr>
      <w:r w:rsidRPr="00941A4A">
        <w:rPr>
          <w:rFonts w:ascii="Times New Roman" w:hAnsi="Times New Roman" w:cs="Times New Roman"/>
          <w:b/>
          <w:sz w:val="24"/>
          <w:szCs w:val="24"/>
          <w:u w:val="single"/>
        </w:rPr>
        <w:t>(i) Doctrine of conversion</w:t>
      </w:r>
      <w:r w:rsidRPr="00941A4A">
        <w:rPr>
          <w:rFonts w:ascii="Times New Roman" w:hAnsi="Times New Roman" w:cs="Times New Roman"/>
          <w:sz w:val="24"/>
          <w:szCs w:val="24"/>
          <w:u w:val="single"/>
        </w:rPr>
        <w:br/>
      </w:r>
      <w:proofErr w:type="gramStart"/>
      <w:r w:rsidRPr="00941A4A">
        <w:rPr>
          <w:rFonts w:ascii="Times New Roman" w:hAnsi="Times New Roman" w:cs="Times New Roman"/>
          <w:sz w:val="24"/>
          <w:szCs w:val="24"/>
        </w:rPr>
        <w:t>When</w:t>
      </w:r>
      <w:proofErr w:type="gramEnd"/>
      <w:r w:rsidRPr="00941A4A">
        <w:rPr>
          <w:rFonts w:ascii="Times New Roman" w:hAnsi="Times New Roman" w:cs="Times New Roman"/>
          <w:sz w:val="24"/>
          <w:szCs w:val="24"/>
        </w:rPr>
        <w:t xml:space="preserve"> the parties have entered into a binding contract for the sale of land, the buyer becomes the “Equitable Owner” and he becomes the “Legal Owner” after the sale is completed.</w:t>
      </w:r>
      <w:r w:rsidRPr="00941A4A">
        <w:rPr>
          <w:rFonts w:ascii="Times New Roman" w:hAnsi="Times New Roman" w:cs="Times New Roman"/>
          <w:sz w:val="24"/>
          <w:szCs w:val="24"/>
          <w:u w:val="single"/>
        </w:rPr>
        <w:t xml:space="preserve"> </w:t>
      </w:r>
      <w:r w:rsidRPr="00941A4A">
        <w:rPr>
          <w:rFonts w:ascii="Times New Roman" w:hAnsi="Times New Roman" w:cs="Times New Roman"/>
          <w:sz w:val="24"/>
          <w:szCs w:val="24"/>
        </w:rPr>
        <w:t>The doctrine is used to make a buyer the equitable owner to the property at the time when parties signed a contract binding them to purchase the land at a later date.</w:t>
      </w:r>
    </w:p>
    <w:p w:rsidR="00941A4A" w:rsidRPr="00941A4A" w:rsidRDefault="00941A4A" w:rsidP="00941A4A">
      <w:pPr>
        <w:rPr>
          <w:rFonts w:ascii="Times New Roman" w:hAnsi="Times New Roman" w:cs="Times New Roman"/>
          <w:sz w:val="24"/>
          <w:szCs w:val="24"/>
          <w:u w:val="single"/>
        </w:rPr>
      </w:pPr>
      <w:proofErr w:type="spellStart"/>
      <w:r w:rsidRPr="00941A4A">
        <w:rPr>
          <w:rFonts w:ascii="Times New Roman" w:hAnsi="Times New Roman" w:cs="Times New Roman"/>
          <w:sz w:val="24"/>
          <w:szCs w:val="24"/>
          <w:u w:val="single"/>
        </w:rPr>
        <w:t>Lachmere</w:t>
      </w:r>
      <w:proofErr w:type="spellEnd"/>
      <w:r w:rsidRPr="00941A4A">
        <w:rPr>
          <w:rFonts w:ascii="Times New Roman" w:hAnsi="Times New Roman" w:cs="Times New Roman"/>
          <w:sz w:val="24"/>
          <w:szCs w:val="24"/>
          <w:u w:val="single"/>
        </w:rPr>
        <w:t xml:space="preserve"> </w:t>
      </w:r>
      <w:proofErr w:type="spellStart"/>
      <w:r w:rsidRPr="00941A4A">
        <w:rPr>
          <w:rFonts w:ascii="Times New Roman" w:hAnsi="Times New Roman" w:cs="Times New Roman"/>
          <w:sz w:val="24"/>
          <w:szCs w:val="24"/>
          <w:u w:val="single"/>
        </w:rPr>
        <w:t>vs</w:t>
      </w:r>
      <w:proofErr w:type="spellEnd"/>
      <w:r w:rsidRPr="00941A4A">
        <w:rPr>
          <w:rFonts w:ascii="Times New Roman" w:hAnsi="Times New Roman" w:cs="Times New Roman"/>
          <w:sz w:val="24"/>
          <w:szCs w:val="24"/>
          <w:u w:val="single"/>
        </w:rPr>
        <w:t xml:space="preserve"> Lady </w:t>
      </w:r>
      <w:proofErr w:type="spellStart"/>
      <w:r w:rsidRPr="00941A4A">
        <w:rPr>
          <w:rFonts w:ascii="Times New Roman" w:hAnsi="Times New Roman" w:cs="Times New Roman"/>
          <w:sz w:val="24"/>
          <w:szCs w:val="24"/>
          <w:u w:val="single"/>
        </w:rPr>
        <w:t>Lachmere</w:t>
      </w:r>
      <w:proofErr w:type="spellEnd"/>
      <w:r w:rsidRPr="00941A4A">
        <w:rPr>
          <w:rFonts w:ascii="Times New Roman" w:hAnsi="Times New Roman" w:cs="Times New Roman"/>
          <w:sz w:val="24"/>
          <w:szCs w:val="24"/>
          <w:u w:val="single"/>
        </w:rPr>
        <w:t>, (1735</w:t>
      </w:r>
      <w:proofErr w:type="gramStart"/>
      <w:r w:rsidRPr="00941A4A">
        <w:rPr>
          <w:rFonts w:ascii="Times New Roman" w:hAnsi="Times New Roman" w:cs="Times New Roman"/>
          <w:sz w:val="24"/>
          <w:szCs w:val="24"/>
          <w:u w:val="single"/>
        </w:rPr>
        <w:t>)</w:t>
      </w:r>
      <w:proofErr w:type="gramEnd"/>
      <w:r w:rsidRPr="00941A4A">
        <w:rPr>
          <w:rFonts w:ascii="Times New Roman" w:hAnsi="Times New Roman" w:cs="Times New Roman"/>
          <w:sz w:val="24"/>
          <w:szCs w:val="24"/>
          <w:u w:val="single"/>
        </w:rPr>
        <w:br/>
      </w:r>
      <w:r w:rsidRPr="00941A4A">
        <w:rPr>
          <w:rFonts w:ascii="Times New Roman" w:hAnsi="Times New Roman" w:cs="Times New Roman"/>
          <w:sz w:val="24"/>
          <w:szCs w:val="24"/>
        </w:rPr>
        <w:t>What ought to have been done shall be taken as done.</w:t>
      </w:r>
    </w:p>
    <w:p w:rsidR="00941A4A" w:rsidRPr="00941A4A" w:rsidRDefault="00941A4A" w:rsidP="00941A4A">
      <w:pPr>
        <w:rPr>
          <w:rFonts w:ascii="Times New Roman" w:hAnsi="Times New Roman" w:cs="Times New Roman"/>
          <w:sz w:val="24"/>
          <w:szCs w:val="24"/>
        </w:rPr>
      </w:pPr>
      <w:r w:rsidRPr="00941A4A">
        <w:rPr>
          <w:rFonts w:ascii="Times New Roman" w:hAnsi="Times New Roman" w:cs="Times New Roman"/>
          <w:sz w:val="24"/>
          <w:szCs w:val="24"/>
          <w:u w:val="single"/>
        </w:rPr>
        <w:t>Point to be noted</w:t>
      </w:r>
      <w:r w:rsidRPr="00941A4A">
        <w:rPr>
          <w:rFonts w:ascii="Times New Roman" w:hAnsi="Times New Roman" w:cs="Times New Roman"/>
          <w:sz w:val="24"/>
          <w:szCs w:val="24"/>
        </w:rPr>
        <w:br/>
      </w:r>
      <w:proofErr w:type="gramStart"/>
      <w:r w:rsidRPr="00941A4A">
        <w:rPr>
          <w:rFonts w:ascii="Times New Roman" w:hAnsi="Times New Roman" w:cs="Times New Roman"/>
          <w:sz w:val="24"/>
          <w:szCs w:val="24"/>
        </w:rPr>
        <w:t>If</w:t>
      </w:r>
      <w:proofErr w:type="gramEnd"/>
      <w:r w:rsidRPr="00941A4A">
        <w:rPr>
          <w:rFonts w:ascii="Times New Roman" w:hAnsi="Times New Roman" w:cs="Times New Roman"/>
          <w:sz w:val="24"/>
          <w:szCs w:val="24"/>
        </w:rPr>
        <w:t xml:space="preserve"> the contract is not executed or buyer becomes insolvent and both seller and buyer agree to alter the contract will reconvert the contract to same position as it was before the agreement.</w:t>
      </w:r>
      <w:r w:rsidRPr="00941A4A">
        <w:rPr>
          <w:rFonts w:ascii="Times New Roman" w:hAnsi="Times New Roman" w:cs="Times New Roman"/>
          <w:sz w:val="24"/>
          <w:szCs w:val="24"/>
        </w:rPr>
        <w:br/>
        <w:t>Decision of parties is sufficient cause for re-conversion.</w:t>
      </w:r>
    </w:p>
    <w:p w:rsidR="00941A4A" w:rsidRPr="00941A4A" w:rsidRDefault="00941A4A" w:rsidP="00941A4A">
      <w:pPr>
        <w:rPr>
          <w:rFonts w:ascii="Times New Roman" w:hAnsi="Times New Roman" w:cs="Times New Roman"/>
          <w:sz w:val="24"/>
          <w:szCs w:val="24"/>
        </w:rPr>
      </w:pPr>
    </w:p>
    <w:p w:rsidR="00941A4A" w:rsidRPr="00941A4A" w:rsidRDefault="00941A4A" w:rsidP="00941A4A">
      <w:pPr>
        <w:rPr>
          <w:rFonts w:ascii="Times New Roman" w:hAnsi="Times New Roman" w:cs="Times New Roman"/>
          <w:sz w:val="24"/>
          <w:szCs w:val="24"/>
        </w:rPr>
      </w:pPr>
    </w:p>
    <w:p w:rsidR="00941A4A" w:rsidRPr="00941A4A" w:rsidRDefault="00941A4A" w:rsidP="00941A4A">
      <w:pPr>
        <w:rPr>
          <w:rFonts w:ascii="Times New Roman" w:hAnsi="Times New Roman" w:cs="Times New Roman"/>
          <w:b/>
          <w:sz w:val="24"/>
          <w:szCs w:val="24"/>
          <w:u w:val="single"/>
        </w:rPr>
      </w:pPr>
      <w:r w:rsidRPr="00941A4A">
        <w:rPr>
          <w:rFonts w:ascii="Times New Roman" w:hAnsi="Times New Roman" w:cs="Times New Roman"/>
          <w:b/>
          <w:sz w:val="24"/>
          <w:szCs w:val="24"/>
          <w:u w:val="single"/>
        </w:rPr>
        <w:t xml:space="preserve">(ii) </w:t>
      </w:r>
      <w:proofErr w:type="spellStart"/>
      <w:r w:rsidRPr="00941A4A">
        <w:rPr>
          <w:rFonts w:ascii="Times New Roman" w:hAnsi="Times New Roman" w:cs="Times New Roman"/>
          <w:b/>
          <w:sz w:val="24"/>
          <w:szCs w:val="24"/>
          <w:u w:val="single"/>
        </w:rPr>
        <w:t>Executory</w:t>
      </w:r>
      <w:proofErr w:type="spellEnd"/>
      <w:r w:rsidRPr="00941A4A">
        <w:rPr>
          <w:rFonts w:ascii="Times New Roman" w:hAnsi="Times New Roman" w:cs="Times New Roman"/>
          <w:b/>
          <w:sz w:val="24"/>
          <w:szCs w:val="24"/>
          <w:u w:val="single"/>
        </w:rPr>
        <w:t xml:space="preserve"> contracts</w:t>
      </w:r>
      <w:r w:rsidRPr="00941A4A">
        <w:rPr>
          <w:rFonts w:ascii="Times New Roman" w:hAnsi="Times New Roman" w:cs="Times New Roman"/>
          <w:b/>
          <w:sz w:val="24"/>
          <w:szCs w:val="24"/>
          <w:u w:val="single"/>
        </w:rPr>
        <w:br/>
      </w:r>
      <w:proofErr w:type="gramStart"/>
      <w:r w:rsidRPr="00941A4A">
        <w:rPr>
          <w:rFonts w:ascii="Times New Roman" w:hAnsi="Times New Roman" w:cs="Times New Roman"/>
          <w:sz w:val="24"/>
          <w:szCs w:val="24"/>
        </w:rPr>
        <w:t>A</w:t>
      </w:r>
      <w:proofErr w:type="gramEnd"/>
      <w:r w:rsidRPr="00941A4A">
        <w:rPr>
          <w:rFonts w:ascii="Times New Roman" w:hAnsi="Times New Roman" w:cs="Times New Roman"/>
          <w:sz w:val="24"/>
          <w:szCs w:val="24"/>
        </w:rPr>
        <w:t xml:space="preserve"> contract that has been fully performed by one party but not by the other party is classified as an </w:t>
      </w:r>
      <w:proofErr w:type="spellStart"/>
      <w:r w:rsidRPr="00941A4A">
        <w:rPr>
          <w:rFonts w:ascii="Times New Roman" w:hAnsi="Times New Roman" w:cs="Times New Roman"/>
          <w:sz w:val="24"/>
          <w:szCs w:val="24"/>
        </w:rPr>
        <w:t>executory</w:t>
      </w:r>
      <w:proofErr w:type="spellEnd"/>
      <w:r w:rsidRPr="00941A4A">
        <w:rPr>
          <w:rFonts w:ascii="Times New Roman" w:hAnsi="Times New Roman" w:cs="Times New Roman"/>
          <w:sz w:val="24"/>
          <w:szCs w:val="24"/>
        </w:rPr>
        <w:t xml:space="preserve"> </w:t>
      </w:r>
      <w:r w:rsidR="000C391D" w:rsidRPr="00941A4A">
        <w:rPr>
          <w:rFonts w:ascii="Times New Roman" w:hAnsi="Times New Roman" w:cs="Times New Roman"/>
          <w:sz w:val="24"/>
          <w:szCs w:val="24"/>
        </w:rPr>
        <w:t>contract. It</w:t>
      </w:r>
      <w:r w:rsidRPr="00941A4A">
        <w:rPr>
          <w:rFonts w:ascii="Times New Roman" w:hAnsi="Times New Roman" w:cs="Times New Roman"/>
          <w:sz w:val="24"/>
          <w:szCs w:val="24"/>
        </w:rPr>
        <w:t xml:space="preserve"> has two </w:t>
      </w:r>
      <w:r w:rsidR="000C391D" w:rsidRPr="00941A4A">
        <w:rPr>
          <w:rFonts w:ascii="Times New Roman" w:hAnsi="Times New Roman" w:cs="Times New Roman"/>
          <w:sz w:val="24"/>
          <w:szCs w:val="24"/>
        </w:rPr>
        <w:t xml:space="preserve">forms: </w:t>
      </w:r>
      <w:r w:rsidRPr="00941A4A">
        <w:rPr>
          <w:rFonts w:ascii="Times New Roman" w:hAnsi="Times New Roman" w:cs="Times New Roman"/>
          <w:b/>
          <w:sz w:val="24"/>
          <w:szCs w:val="24"/>
          <w:u w:val="single"/>
        </w:rPr>
        <w:br/>
      </w:r>
      <w:r w:rsidRPr="00941A4A">
        <w:rPr>
          <w:rFonts w:ascii="Times New Roman" w:hAnsi="Times New Roman" w:cs="Times New Roman"/>
          <w:sz w:val="24"/>
          <w:szCs w:val="24"/>
        </w:rPr>
        <w:br/>
        <w:t>1. Assignment of future property</w:t>
      </w:r>
      <w:r w:rsidRPr="00941A4A">
        <w:rPr>
          <w:rFonts w:ascii="Times New Roman" w:hAnsi="Times New Roman" w:cs="Times New Roman"/>
          <w:b/>
          <w:sz w:val="24"/>
          <w:szCs w:val="24"/>
          <w:u w:val="single"/>
        </w:rPr>
        <w:br/>
      </w:r>
      <w:r w:rsidRPr="00941A4A">
        <w:rPr>
          <w:rFonts w:ascii="Times New Roman" w:hAnsi="Times New Roman" w:cs="Times New Roman"/>
          <w:sz w:val="24"/>
          <w:szCs w:val="24"/>
        </w:rPr>
        <w:t>2. Agreement for a transfer</w:t>
      </w:r>
    </w:p>
    <w:p w:rsidR="00941A4A" w:rsidRPr="00941A4A" w:rsidRDefault="00941A4A" w:rsidP="00941A4A">
      <w:pPr>
        <w:rPr>
          <w:rFonts w:ascii="Times New Roman" w:hAnsi="Times New Roman" w:cs="Times New Roman"/>
          <w:sz w:val="24"/>
          <w:szCs w:val="24"/>
          <w:u w:val="single"/>
        </w:rPr>
      </w:pPr>
      <w:r w:rsidRPr="00941A4A">
        <w:rPr>
          <w:rFonts w:ascii="Times New Roman" w:hAnsi="Times New Roman" w:cs="Times New Roman"/>
          <w:sz w:val="24"/>
          <w:szCs w:val="24"/>
          <w:u w:val="single"/>
        </w:rPr>
        <w:t>1. Assignment of future property</w:t>
      </w:r>
      <w:r w:rsidRPr="00941A4A">
        <w:rPr>
          <w:rFonts w:ascii="Times New Roman" w:hAnsi="Times New Roman" w:cs="Times New Roman"/>
          <w:sz w:val="24"/>
          <w:szCs w:val="24"/>
          <w:u w:val="single"/>
        </w:rPr>
        <w:br/>
      </w:r>
      <w:proofErr w:type="gramStart"/>
      <w:r w:rsidRPr="00941A4A">
        <w:rPr>
          <w:rFonts w:ascii="Times New Roman" w:hAnsi="Times New Roman" w:cs="Times New Roman"/>
          <w:sz w:val="24"/>
          <w:szCs w:val="24"/>
        </w:rPr>
        <w:t>A</w:t>
      </w:r>
      <w:proofErr w:type="gramEnd"/>
      <w:r w:rsidRPr="00941A4A">
        <w:rPr>
          <w:rFonts w:ascii="Times New Roman" w:hAnsi="Times New Roman" w:cs="Times New Roman"/>
          <w:sz w:val="24"/>
          <w:szCs w:val="24"/>
        </w:rPr>
        <w:t xml:space="preserve"> person is entitled to enter into a contract regarding any goods, services or properties which is not available in the time of entering into the contract but it will be available in a future date.</w:t>
      </w:r>
      <w:r w:rsidRPr="00941A4A">
        <w:rPr>
          <w:rFonts w:ascii="Times New Roman" w:hAnsi="Times New Roman" w:cs="Times New Roman"/>
          <w:sz w:val="24"/>
          <w:szCs w:val="24"/>
          <w:u w:val="single"/>
        </w:rPr>
        <w:t xml:space="preserve"> </w:t>
      </w:r>
      <w:r w:rsidRPr="00941A4A">
        <w:rPr>
          <w:rFonts w:ascii="Times New Roman" w:hAnsi="Times New Roman" w:cs="Times New Roman"/>
          <w:sz w:val="24"/>
          <w:szCs w:val="24"/>
        </w:rPr>
        <w:t>When the subject matter of the contract comes into existence, the contract becomes executed.</w:t>
      </w:r>
      <w:r w:rsidRPr="00941A4A">
        <w:rPr>
          <w:rFonts w:ascii="Times New Roman" w:hAnsi="Times New Roman" w:cs="Times New Roman"/>
          <w:sz w:val="24"/>
          <w:szCs w:val="24"/>
          <w:u w:val="single"/>
        </w:rPr>
        <w:br/>
      </w:r>
      <w:r w:rsidRPr="00941A4A">
        <w:rPr>
          <w:rFonts w:ascii="Times New Roman" w:hAnsi="Times New Roman" w:cs="Times New Roman"/>
          <w:i/>
          <w:sz w:val="24"/>
          <w:szCs w:val="24"/>
          <w:u w:val="single"/>
        </w:rPr>
        <w:br/>
        <w:t>Holroyd v Marshall, (1862</w:t>
      </w:r>
      <w:proofErr w:type="gramStart"/>
      <w:r w:rsidRPr="00941A4A">
        <w:rPr>
          <w:rFonts w:ascii="Times New Roman" w:hAnsi="Times New Roman" w:cs="Times New Roman"/>
          <w:i/>
          <w:sz w:val="24"/>
          <w:szCs w:val="24"/>
          <w:u w:val="single"/>
        </w:rPr>
        <w:t>)</w:t>
      </w:r>
      <w:proofErr w:type="gramEnd"/>
      <w:r w:rsidRPr="00941A4A">
        <w:rPr>
          <w:rFonts w:ascii="Times New Roman" w:hAnsi="Times New Roman" w:cs="Times New Roman"/>
          <w:sz w:val="24"/>
          <w:szCs w:val="24"/>
          <w:u w:val="single"/>
        </w:rPr>
        <w:br/>
      </w:r>
      <w:r w:rsidRPr="00941A4A">
        <w:rPr>
          <w:rFonts w:ascii="Times New Roman" w:hAnsi="Times New Roman" w:cs="Times New Roman"/>
          <w:sz w:val="24"/>
          <w:szCs w:val="24"/>
        </w:rPr>
        <w:t>“A” transferred his machinery to “P”, who should hold it in trust for “H”. Machinery which was subject of transfer included the machinery in the mill and also the one that would be purchased and added thereto or substituted for the present one. New machinery was added thereafter. The point of dispute was whether H could claim it, or the execution creditor of A (P) could claim it. It was held that H’s claim would prevail over that of the execution creditor (P), as H obtained an equitable title as soon as the new machinery was added to the old.</w:t>
      </w:r>
    </w:p>
    <w:p w:rsidR="00941A4A" w:rsidRPr="00941A4A" w:rsidRDefault="00941A4A" w:rsidP="00941A4A">
      <w:pPr>
        <w:rPr>
          <w:rFonts w:ascii="Times New Roman" w:hAnsi="Times New Roman" w:cs="Times New Roman"/>
          <w:sz w:val="24"/>
          <w:szCs w:val="24"/>
          <w:u w:val="single"/>
        </w:rPr>
      </w:pPr>
      <w:r w:rsidRPr="00941A4A">
        <w:rPr>
          <w:rFonts w:ascii="Times New Roman" w:hAnsi="Times New Roman" w:cs="Times New Roman"/>
          <w:sz w:val="24"/>
          <w:szCs w:val="24"/>
          <w:u w:val="single"/>
        </w:rPr>
        <w:t>2. Agreement for a transfer</w:t>
      </w:r>
      <w:r w:rsidRPr="00941A4A">
        <w:rPr>
          <w:rFonts w:ascii="Times New Roman" w:hAnsi="Times New Roman" w:cs="Times New Roman"/>
          <w:sz w:val="24"/>
          <w:szCs w:val="24"/>
          <w:u w:val="single"/>
        </w:rPr>
        <w:br/>
      </w:r>
      <w:proofErr w:type="gramStart"/>
      <w:r w:rsidRPr="00941A4A">
        <w:rPr>
          <w:rFonts w:ascii="Times New Roman" w:hAnsi="Times New Roman" w:cs="Times New Roman"/>
          <w:sz w:val="24"/>
          <w:szCs w:val="24"/>
        </w:rPr>
        <w:t>A</w:t>
      </w:r>
      <w:proofErr w:type="gramEnd"/>
      <w:r w:rsidRPr="00941A4A">
        <w:rPr>
          <w:rFonts w:ascii="Times New Roman" w:hAnsi="Times New Roman" w:cs="Times New Roman"/>
          <w:sz w:val="24"/>
          <w:szCs w:val="24"/>
        </w:rPr>
        <w:t xml:space="preserve"> lease agreement did not by itself create any legal right at Common law.  Unless and until the execution of deed, no legal rights lost or created between them. But equity could not tolerate this unjust position. It therefore conferred an equitable tile upon the person having the lease agreement in his favour.</w:t>
      </w:r>
      <w:r w:rsidRPr="00941A4A">
        <w:rPr>
          <w:rFonts w:ascii="Times New Roman" w:hAnsi="Times New Roman" w:cs="Times New Roman"/>
          <w:sz w:val="24"/>
          <w:szCs w:val="24"/>
          <w:u w:val="single"/>
        </w:rPr>
        <w:br/>
      </w:r>
      <w:r w:rsidRPr="00941A4A">
        <w:rPr>
          <w:rFonts w:ascii="Times New Roman" w:hAnsi="Times New Roman" w:cs="Times New Roman"/>
          <w:sz w:val="24"/>
          <w:szCs w:val="24"/>
          <w:u w:val="single"/>
        </w:rPr>
        <w:br/>
        <w:t>Walsh v Lonsdale, (1882</w:t>
      </w:r>
      <w:proofErr w:type="gramStart"/>
      <w:r w:rsidRPr="00941A4A">
        <w:rPr>
          <w:rFonts w:ascii="Times New Roman" w:hAnsi="Times New Roman" w:cs="Times New Roman"/>
          <w:sz w:val="24"/>
          <w:szCs w:val="24"/>
          <w:u w:val="single"/>
        </w:rPr>
        <w:t>)</w:t>
      </w:r>
      <w:proofErr w:type="gramEnd"/>
      <w:r w:rsidRPr="00941A4A">
        <w:rPr>
          <w:rFonts w:ascii="Times New Roman" w:hAnsi="Times New Roman" w:cs="Times New Roman"/>
          <w:sz w:val="24"/>
          <w:szCs w:val="24"/>
          <w:u w:val="single"/>
        </w:rPr>
        <w:br/>
      </w:r>
      <w:r w:rsidRPr="00941A4A">
        <w:rPr>
          <w:rFonts w:ascii="Times New Roman" w:hAnsi="Times New Roman" w:cs="Times New Roman"/>
          <w:sz w:val="24"/>
          <w:szCs w:val="24"/>
        </w:rPr>
        <w:t>It was decided that an agreement for lease could be treated as a lease in equity.</w:t>
      </w:r>
      <w:r w:rsidRPr="00941A4A">
        <w:rPr>
          <w:rFonts w:ascii="Times New Roman" w:hAnsi="Times New Roman" w:cs="Times New Roman"/>
          <w:sz w:val="24"/>
          <w:szCs w:val="24"/>
          <w:u w:val="single"/>
        </w:rPr>
        <w:br/>
      </w:r>
      <w:r w:rsidRPr="00941A4A">
        <w:rPr>
          <w:rFonts w:ascii="Times New Roman" w:hAnsi="Times New Roman" w:cs="Times New Roman"/>
          <w:sz w:val="24"/>
          <w:szCs w:val="24"/>
          <w:u w:val="single"/>
        </w:rPr>
        <w:br/>
      </w:r>
      <w:r w:rsidRPr="00941A4A">
        <w:rPr>
          <w:rFonts w:ascii="Times New Roman" w:hAnsi="Times New Roman" w:cs="Times New Roman"/>
          <w:b/>
          <w:sz w:val="24"/>
          <w:szCs w:val="24"/>
          <w:u w:val="single"/>
        </w:rPr>
        <w:t>Conditions</w:t>
      </w:r>
    </w:p>
    <w:p w:rsidR="00941A4A" w:rsidRPr="00941A4A" w:rsidRDefault="00941A4A" w:rsidP="00941A4A">
      <w:pPr>
        <w:rPr>
          <w:rFonts w:ascii="Times New Roman" w:hAnsi="Times New Roman" w:cs="Times New Roman"/>
          <w:sz w:val="24"/>
          <w:szCs w:val="24"/>
        </w:rPr>
      </w:pPr>
      <w:r w:rsidRPr="00941A4A">
        <w:rPr>
          <w:rFonts w:ascii="Times New Roman" w:hAnsi="Times New Roman" w:cs="Times New Roman"/>
          <w:sz w:val="24"/>
          <w:szCs w:val="24"/>
        </w:rPr>
        <w:t>In order that the doctrine may operate with full force, the following conditions must be fulfilled:</w:t>
      </w:r>
    </w:p>
    <w:p w:rsidR="00941A4A" w:rsidRPr="00941A4A" w:rsidRDefault="00941A4A" w:rsidP="00941A4A">
      <w:pPr>
        <w:rPr>
          <w:rFonts w:ascii="Times New Roman" w:hAnsi="Times New Roman" w:cs="Times New Roman"/>
          <w:sz w:val="24"/>
          <w:szCs w:val="24"/>
        </w:rPr>
      </w:pPr>
      <w:r w:rsidRPr="00941A4A">
        <w:rPr>
          <w:rFonts w:ascii="Times New Roman" w:hAnsi="Times New Roman" w:cs="Times New Roman"/>
          <w:sz w:val="24"/>
          <w:szCs w:val="24"/>
        </w:rPr>
        <w:t>1. A contract to transfer a legal title must exist.</w:t>
      </w:r>
    </w:p>
    <w:p w:rsidR="00941A4A" w:rsidRPr="00941A4A" w:rsidRDefault="00941A4A" w:rsidP="00941A4A">
      <w:pPr>
        <w:rPr>
          <w:rFonts w:ascii="Times New Roman" w:hAnsi="Times New Roman" w:cs="Times New Roman"/>
          <w:sz w:val="24"/>
          <w:szCs w:val="24"/>
        </w:rPr>
      </w:pPr>
      <w:r w:rsidRPr="00941A4A">
        <w:rPr>
          <w:rFonts w:ascii="Times New Roman" w:hAnsi="Times New Roman" w:cs="Times New Roman"/>
          <w:sz w:val="24"/>
          <w:szCs w:val="24"/>
        </w:rPr>
        <w:t>2. It should be capable of being proved, either by some acts of part-performance or by writing.</w:t>
      </w:r>
    </w:p>
    <w:p w:rsidR="00941A4A" w:rsidRPr="00941A4A" w:rsidRDefault="00941A4A" w:rsidP="00941A4A">
      <w:pPr>
        <w:rPr>
          <w:rFonts w:ascii="Times New Roman" w:hAnsi="Times New Roman" w:cs="Times New Roman"/>
          <w:sz w:val="24"/>
          <w:szCs w:val="24"/>
        </w:rPr>
      </w:pPr>
      <w:r w:rsidRPr="00941A4A">
        <w:rPr>
          <w:rFonts w:ascii="Times New Roman" w:hAnsi="Times New Roman" w:cs="Times New Roman"/>
          <w:sz w:val="24"/>
          <w:szCs w:val="24"/>
        </w:rPr>
        <w:t>3. It should be capable of specific performance</w:t>
      </w:r>
    </w:p>
    <w:p w:rsidR="00941A4A" w:rsidRPr="00941A4A" w:rsidRDefault="00941A4A" w:rsidP="00941A4A">
      <w:pPr>
        <w:rPr>
          <w:rFonts w:ascii="Times New Roman" w:hAnsi="Times New Roman" w:cs="Times New Roman"/>
          <w:sz w:val="24"/>
          <w:szCs w:val="24"/>
        </w:rPr>
      </w:pPr>
      <w:r w:rsidRPr="00941A4A">
        <w:rPr>
          <w:rFonts w:ascii="Times New Roman" w:hAnsi="Times New Roman" w:cs="Times New Roman"/>
          <w:sz w:val="24"/>
          <w:szCs w:val="24"/>
        </w:rPr>
        <w:t>4. The suit should be filed within prescribed time.</w:t>
      </w:r>
    </w:p>
    <w:p w:rsidR="00941A4A" w:rsidRPr="00941A4A" w:rsidRDefault="00941A4A" w:rsidP="00941A4A">
      <w:pPr>
        <w:rPr>
          <w:rFonts w:ascii="Times New Roman" w:hAnsi="Times New Roman" w:cs="Times New Roman"/>
          <w:sz w:val="24"/>
          <w:szCs w:val="24"/>
        </w:rPr>
      </w:pPr>
      <w:r w:rsidRPr="00941A4A">
        <w:rPr>
          <w:rFonts w:ascii="Times New Roman" w:hAnsi="Times New Roman" w:cs="Times New Roman"/>
          <w:sz w:val="24"/>
          <w:szCs w:val="24"/>
        </w:rPr>
        <w:lastRenderedPageBreak/>
        <w:t>5. The title so sought to be acq</w:t>
      </w:r>
      <w:r>
        <w:rPr>
          <w:rFonts w:ascii="Times New Roman" w:hAnsi="Times New Roman" w:cs="Times New Roman"/>
          <w:sz w:val="24"/>
          <w:szCs w:val="24"/>
        </w:rPr>
        <w:t>uired must have support at law.</w:t>
      </w:r>
    </w:p>
    <w:p w:rsidR="00941A4A" w:rsidRPr="00941A4A" w:rsidRDefault="00941A4A" w:rsidP="00941A4A">
      <w:pPr>
        <w:rPr>
          <w:rFonts w:ascii="Times New Roman" w:hAnsi="Times New Roman" w:cs="Times New Roman"/>
          <w:b/>
          <w:sz w:val="24"/>
          <w:szCs w:val="24"/>
          <w:u w:val="single"/>
        </w:rPr>
      </w:pPr>
      <w:r w:rsidRPr="00941A4A">
        <w:rPr>
          <w:rFonts w:ascii="Times New Roman" w:hAnsi="Times New Roman" w:cs="Times New Roman"/>
          <w:b/>
          <w:sz w:val="24"/>
          <w:szCs w:val="24"/>
          <w:u w:val="single"/>
        </w:rPr>
        <w:t>(iii) Doctrine of part performance</w:t>
      </w:r>
      <w:r w:rsidRPr="00941A4A">
        <w:rPr>
          <w:rFonts w:ascii="Times New Roman" w:hAnsi="Times New Roman" w:cs="Times New Roman"/>
          <w:b/>
          <w:sz w:val="24"/>
          <w:szCs w:val="24"/>
          <w:u w:val="single"/>
        </w:rPr>
        <w:br/>
      </w:r>
      <w:r w:rsidRPr="00941A4A">
        <w:rPr>
          <w:rFonts w:ascii="Times New Roman" w:hAnsi="Times New Roman" w:cs="Times New Roman"/>
          <w:sz w:val="24"/>
          <w:szCs w:val="24"/>
        </w:rPr>
        <w:t>Part-Performance doctrine is an equitable principle that allows a court to recognize and enforce an oral contract despite its legal deficiencies. It provides a way around the statutory bar to the enforcement of an oral contract. By applying the part performance doctrine, a party can establish the existence of a contract despite the lack of any written evidence. Generally, without written evidence a contract does not satisfy the formal requirements set by legislatures under their statutes of frauds. The doctrine of part performance is an exception to this.</w:t>
      </w:r>
      <w:r w:rsidRPr="00941A4A">
        <w:rPr>
          <w:rFonts w:ascii="Times New Roman" w:hAnsi="Times New Roman" w:cs="Times New Roman"/>
          <w:b/>
          <w:sz w:val="24"/>
          <w:szCs w:val="24"/>
        </w:rPr>
        <w:t xml:space="preserve"> </w:t>
      </w:r>
      <w:r w:rsidRPr="00941A4A">
        <w:rPr>
          <w:rFonts w:ascii="Times New Roman" w:hAnsi="Times New Roman" w:cs="Times New Roman"/>
          <w:sz w:val="24"/>
          <w:szCs w:val="24"/>
        </w:rPr>
        <w:t>In case of land transaction if a party pays part of the consideration and agrees to pay rest part in a future date</w:t>
      </w:r>
      <w:proofErr w:type="gramStart"/>
      <w:r w:rsidRPr="00941A4A">
        <w:rPr>
          <w:rFonts w:ascii="Times New Roman" w:hAnsi="Times New Roman" w:cs="Times New Roman"/>
          <w:sz w:val="24"/>
          <w:szCs w:val="24"/>
        </w:rPr>
        <w:t>:</w:t>
      </w:r>
      <w:proofErr w:type="gramEnd"/>
      <w:r w:rsidRPr="00941A4A">
        <w:rPr>
          <w:rFonts w:ascii="Times New Roman" w:hAnsi="Times New Roman" w:cs="Times New Roman"/>
          <w:b/>
          <w:sz w:val="24"/>
          <w:szCs w:val="24"/>
          <w:u w:val="single"/>
        </w:rPr>
        <w:br/>
      </w:r>
      <w:r w:rsidRPr="00941A4A">
        <w:rPr>
          <w:rFonts w:ascii="Times New Roman" w:hAnsi="Times New Roman" w:cs="Times New Roman"/>
          <w:sz w:val="24"/>
          <w:szCs w:val="24"/>
        </w:rPr>
        <w:t>1. There is nothing to prevent the second party from claiming the balance at a future date.</w:t>
      </w:r>
      <w:r w:rsidRPr="00941A4A">
        <w:rPr>
          <w:rFonts w:ascii="Times New Roman" w:hAnsi="Times New Roman" w:cs="Times New Roman"/>
          <w:b/>
          <w:sz w:val="24"/>
          <w:szCs w:val="24"/>
          <w:u w:val="single"/>
        </w:rPr>
        <w:br/>
      </w:r>
      <w:r w:rsidRPr="00941A4A">
        <w:rPr>
          <w:rFonts w:ascii="Times New Roman" w:hAnsi="Times New Roman" w:cs="Times New Roman"/>
          <w:sz w:val="24"/>
          <w:szCs w:val="24"/>
        </w:rPr>
        <w:t>2. The first party is bound equally to pay the rest amount.</w:t>
      </w:r>
    </w:p>
    <w:p w:rsidR="00941A4A" w:rsidRPr="00941A4A" w:rsidRDefault="00941A4A" w:rsidP="00941A4A">
      <w:pPr>
        <w:rPr>
          <w:rFonts w:ascii="Times New Roman" w:hAnsi="Times New Roman" w:cs="Times New Roman"/>
          <w:b/>
          <w:sz w:val="24"/>
          <w:szCs w:val="24"/>
          <w:u w:val="single"/>
        </w:rPr>
      </w:pPr>
      <w:r w:rsidRPr="00941A4A">
        <w:rPr>
          <w:rFonts w:ascii="Times New Roman" w:hAnsi="Times New Roman" w:cs="Times New Roman"/>
          <w:b/>
          <w:sz w:val="24"/>
          <w:szCs w:val="24"/>
          <w:u w:val="single"/>
        </w:rPr>
        <w:t>Recognition</w:t>
      </w:r>
      <w:r w:rsidRPr="00941A4A">
        <w:rPr>
          <w:rFonts w:ascii="Times New Roman" w:hAnsi="Times New Roman" w:cs="Times New Roman"/>
          <w:b/>
          <w:sz w:val="24"/>
          <w:szCs w:val="24"/>
          <w:u w:val="single"/>
        </w:rPr>
        <w:br/>
      </w:r>
      <w:proofErr w:type="gramStart"/>
      <w:r w:rsidRPr="00941A4A">
        <w:rPr>
          <w:rFonts w:ascii="Times New Roman" w:hAnsi="Times New Roman" w:cs="Times New Roman"/>
          <w:sz w:val="24"/>
          <w:szCs w:val="24"/>
        </w:rPr>
        <w:t>Many</w:t>
      </w:r>
      <w:proofErr w:type="gramEnd"/>
      <w:r w:rsidRPr="00941A4A">
        <w:rPr>
          <w:rFonts w:ascii="Times New Roman" w:hAnsi="Times New Roman" w:cs="Times New Roman"/>
          <w:sz w:val="24"/>
          <w:szCs w:val="24"/>
        </w:rPr>
        <w:t xml:space="preserve"> of the doctrines of English equity have taken statutory form in Bangladesh.</w:t>
      </w:r>
      <w:r w:rsidRPr="00941A4A">
        <w:rPr>
          <w:rFonts w:ascii="Times New Roman" w:hAnsi="Times New Roman" w:cs="Times New Roman"/>
          <w:b/>
          <w:sz w:val="24"/>
          <w:szCs w:val="24"/>
          <w:u w:val="single"/>
        </w:rPr>
        <w:br/>
      </w:r>
      <w:r w:rsidRPr="00941A4A">
        <w:rPr>
          <w:rFonts w:ascii="Times New Roman" w:hAnsi="Times New Roman" w:cs="Times New Roman"/>
          <w:sz w:val="24"/>
          <w:szCs w:val="24"/>
          <w:u w:val="single"/>
        </w:rPr>
        <w:t>1. The Transfer of Property Act, 1882</w:t>
      </w:r>
      <w:r w:rsidRPr="00941A4A">
        <w:rPr>
          <w:rFonts w:ascii="Times New Roman" w:hAnsi="Times New Roman" w:cs="Times New Roman"/>
          <w:sz w:val="24"/>
          <w:szCs w:val="24"/>
        </w:rPr>
        <w:t xml:space="preserve"> (Section 40) Illustration “A contracts to sell </w:t>
      </w:r>
      <w:proofErr w:type="spellStart"/>
      <w:r w:rsidRPr="00941A4A">
        <w:rPr>
          <w:rFonts w:ascii="Times New Roman" w:hAnsi="Times New Roman" w:cs="Times New Roman"/>
          <w:sz w:val="24"/>
          <w:szCs w:val="24"/>
        </w:rPr>
        <w:t>Ulipur</w:t>
      </w:r>
      <w:proofErr w:type="spellEnd"/>
      <w:r w:rsidRPr="00941A4A">
        <w:rPr>
          <w:rFonts w:ascii="Times New Roman" w:hAnsi="Times New Roman" w:cs="Times New Roman"/>
          <w:sz w:val="24"/>
          <w:szCs w:val="24"/>
        </w:rPr>
        <w:t xml:space="preserve"> to B. While the contract is still in force he sells </w:t>
      </w:r>
      <w:proofErr w:type="spellStart"/>
      <w:r w:rsidRPr="00941A4A">
        <w:rPr>
          <w:rFonts w:ascii="Times New Roman" w:hAnsi="Times New Roman" w:cs="Times New Roman"/>
          <w:sz w:val="24"/>
          <w:szCs w:val="24"/>
        </w:rPr>
        <w:t>Ulipur</w:t>
      </w:r>
      <w:proofErr w:type="spellEnd"/>
      <w:r w:rsidRPr="00941A4A">
        <w:rPr>
          <w:rFonts w:ascii="Times New Roman" w:hAnsi="Times New Roman" w:cs="Times New Roman"/>
          <w:sz w:val="24"/>
          <w:szCs w:val="24"/>
        </w:rPr>
        <w:t xml:space="preserve"> to C, who has notice of the contract. B may enforce the contract against C to the same extent as against A.”</w:t>
      </w:r>
    </w:p>
    <w:p w:rsidR="00941A4A" w:rsidRPr="00941A4A" w:rsidRDefault="00941A4A" w:rsidP="00941A4A">
      <w:pPr>
        <w:rPr>
          <w:rFonts w:ascii="Times New Roman" w:hAnsi="Times New Roman" w:cs="Times New Roman"/>
          <w:sz w:val="24"/>
          <w:szCs w:val="24"/>
          <w:u w:val="single"/>
        </w:rPr>
      </w:pPr>
      <w:r w:rsidRPr="00941A4A">
        <w:rPr>
          <w:rFonts w:ascii="Times New Roman" w:hAnsi="Times New Roman" w:cs="Times New Roman"/>
          <w:sz w:val="24"/>
          <w:szCs w:val="24"/>
          <w:u w:val="single"/>
        </w:rPr>
        <w:t xml:space="preserve">2. The Transfer of Property Act, 1882 </w:t>
      </w:r>
      <w:r w:rsidRPr="00941A4A">
        <w:rPr>
          <w:rFonts w:ascii="Times New Roman" w:hAnsi="Times New Roman" w:cs="Times New Roman"/>
          <w:sz w:val="24"/>
          <w:szCs w:val="24"/>
        </w:rPr>
        <w:t>(Section 53/A) Part performance.</w:t>
      </w:r>
    </w:p>
    <w:p w:rsidR="00941A4A" w:rsidRPr="00941A4A" w:rsidRDefault="00941A4A" w:rsidP="00941A4A">
      <w:pPr>
        <w:rPr>
          <w:rFonts w:ascii="Times New Roman" w:hAnsi="Times New Roman" w:cs="Times New Roman"/>
          <w:sz w:val="24"/>
          <w:szCs w:val="24"/>
          <w:u w:val="single"/>
        </w:rPr>
      </w:pPr>
      <w:r w:rsidRPr="00941A4A">
        <w:rPr>
          <w:rFonts w:ascii="Times New Roman" w:hAnsi="Times New Roman" w:cs="Times New Roman"/>
          <w:sz w:val="24"/>
          <w:szCs w:val="24"/>
          <w:u w:val="single"/>
        </w:rPr>
        <w:t>3. The Specific Relief Act, 1877</w:t>
      </w:r>
      <w:r w:rsidRPr="00941A4A">
        <w:rPr>
          <w:rFonts w:ascii="Times New Roman" w:hAnsi="Times New Roman" w:cs="Times New Roman"/>
          <w:sz w:val="24"/>
          <w:szCs w:val="24"/>
        </w:rPr>
        <w:t xml:space="preserve"> (Section 12) relating to the specific performance of part of a contract also illustrates the application of the maxim.</w:t>
      </w:r>
    </w:p>
    <w:p w:rsidR="00941A4A" w:rsidRPr="00941A4A" w:rsidRDefault="00941A4A" w:rsidP="00941A4A">
      <w:pPr>
        <w:rPr>
          <w:rFonts w:ascii="Times New Roman" w:hAnsi="Times New Roman" w:cs="Times New Roman"/>
          <w:sz w:val="24"/>
          <w:szCs w:val="24"/>
          <w:u w:val="single"/>
        </w:rPr>
      </w:pPr>
      <w:r w:rsidRPr="00941A4A">
        <w:rPr>
          <w:rFonts w:ascii="Times New Roman" w:hAnsi="Times New Roman" w:cs="Times New Roman"/>
          <w:sz w:val="24"/>
          <w:szCs w:val="24"/>
          <w:u w:val="single"/>
        </w:rPr>
        <w:t>4. The Trust Act, 1882</w:t>
      </w:r>
      <w:r w:rsidRPr="00941A4A">
        <w:rPr>
          <w:rFonts w:ascii="Times New Roman" w:hAnsi="Times New Roman" w:cs="Times New Roman"/>
          <w:sz w:val="24"/>
          <w:szCs w:val="24"/>
        </w:rPr>
        <w:t xml:space="preserve"> (Section 91) Where a person acquires property with notice that another person has entered into an existing contract affecting that property, of which specific performance could be enforced, the former must hold the property for the benefit of the latter to the extent necessary to give effect to the contract.</w:t>
      </w:r>
    </w:p>
    <w:p w:rsidR="00C33D44" w:rsidRPr="00941A4A" w:rsidRDefault="00C33D44">
      <w:pPr>
        <w:rPr>
          <w:rFonts w:ascii="Times New Roman" w:hAnsi="Times New Roman" w:cs="Times New Roman"/>
          <w:sz w:val="24"/>
          <w:szCs w:val="24"/>
        </w:rPr>
      </w:pPr>
    </w:p>
    <w:sectPr w:rsidR="00C33D44" w:rsidRPr="00941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4A"/>
    <w:rsid w:val="000C391D"/>
    <w:rsid w:val="00397C78"/>
    <w:rsid w:val="00941A4A"/>
    <w:rsid w:val="00C3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3</cp:revision>
  <cp:lastPrinted>2018-07-01T10:46:00Z</cp:lastPrinted>
  <dcterms:created xsi:type="dcterms:W3CDTF">2018-06-23T09:40:00Z</dcterms:created>
  <dcterms:modified xsi:type="dcterms:W3CDTF">2018-07-01T10:49:00Z</dcterms:modified>
</cp:coreProperties>
</file>