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A5781" w14:textId="3478A2B2" w:rsidR="002B5585" w:rsidRPr="00383D51" w:rsidRDefault="00383D51">
      <w:pPr>
        <w:rPr>
          <w:rFonts w:ascii="Trebuchet MS" w:hAnsi="Trebuchet MS"/>
          <w:b/>
          <w:bCs/>
          <w:sz w:val="28"/>
          <w:szCs w:val="28"/>
          <w:lang w:val="en-GB"/>
        </w:rPr>
      </w:pPr>
      <w:r w:rsidRPr="00383D51">
        <w:rPr>
          <w:rFonts w:ascii="Trebuchet MS" w:hAnsi="Trebuchet MS"/>
          <w:b/>
          <w:bCs/>
          <w:sz w:val="28"/>
          <w:szCs w:val="28"/>
          <w:lang w:val="en-GB"/>
        </w:rPr>
        <w:t xml:space="preserve">Lecture </w:t>
      </w:r>
      <w:r w:rsidR="008446CF">
        <w:rPr>
          <w:rFonts w:ascii="Trebuchet MS" w:hAnsi="Trebuchet MS"/>
          <w:b/>
          <w:bCs/>
          <w:sz w:val="28"/>
          <w:szCs w:val="28"/>
          <w:lang w:val="en-GB"/>
        </w:rPr>
        <w:t>Introduction</w:t>
      </w:r>
      <w:r w:rsidRPr="00383D51">
        <w:rPr>
          <w:rFonts w:ascii="Trebuchet MS" w:hAnsi="Trebuchet MS"/>
          <w:b/>
          <w:bCs/>
          <w:sz w:val="28"/>
          <w:szCs w:val="28"/>
          <w:lang w:val="en-GB"/>
        </w:rPr>
        <w:t xml:space="preserve"> </w:t>
      </w:r>
    </w:p>
    <w:p w14:paraId="53BB5CF3" w14:textId="07031A2C" w:rsidR="00383D51" w:rsidRPr="008446CF" w:rsidRDefault="008446CF" w:rsidP="008446C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8446CF">
        <w:rPr>
          <w:rFonts w:ascii="Trebuchet MS" w:eastAsia="Cambria" w:hAnsi="Trebuchet MS"/>
          <w:color w:val="000000" w:themeColor="text1"/>
          <w:kern w:val="24"/>
          <w:sz w:val="24"/>
          <w:szCs w:val="24"/>
          <w:lang w:val="en-GB"/>
        </w:rPr>
        <w:t xml:space="preserve">The purpose of this lecture is to facilitate a comprehensive comprehension of non-governmental organizations (NGOs) and their fundamental aspects. It aims to establish a connection between NGOs and rural development, provide a concise overview of various NGOs in relation to rural development, assess the initiatives and undertakings of NGOs operating in rural regions of the country, and </w:t>
      </w:r>
      <w:r w:rsidR="00946A97">
        <w:rPr>
          <w:rFonts w:ascii="Trebuchet MS" w:eastAsia="Cambria" w:hAnsi="Trebuchet MS"/>
          <w:color w:val="000000" w:themeColor="text1"/>
          <w:kern w:val="24"/>
          <w:sz w:val="24"/>
          <w:szCs w:val="24"/>
          <w:lang w:val="en-GB"/>
        </w:rPr>
        <w:t>analyze</w:t>
      </w:r>
      <w:r w:rsidRPr="008446CF">
        <w:rPr>
          <w:rFonts w:ascii="Trebuchet MS" w:eastAsia="Cambria" w:hAnsi="Trebuchet MS"/>
          <w:color w:val="000000" w:themeColor="text1"/>
          <w:kern w:val="24"/>
          <w:sz w:val="24"/>
          <w:szCs w:val="24"/>
          <w:lang w:val="en-GB"/>
        </w:rPr>
        <w:t xml:space="preserve"> their accomplishments and triumphs. Additionally, it intends to foster a discussion on the multifaceted approaches employed by NGOs in rural areas.</w:t>
      </w:r>
    </w:p>
    <w:p w14:paraId="16B88EB3" w14:textId="77777777" w:rsidR="00383D51" w:rsidRPr="00383D51" w:rsidRDefault="00383D51">
      <w:pPr>
        <w:rPr>
          <w:lang w:val="en-GB"/>
        </w:rPr>
      </w:pPr>
    </w:p>
    <w:sectPr w:rsidR="00383D51" w:rsidRPr="00383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44A"/>
    <w:multiLevelType w:val="hybridMultilevel"/>
    <w:tmpl w:val="00D682D6"/>
    <w:lvl w:ilvl="0" w:tplc="D7124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37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C2B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C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4B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2BC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8AD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61C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8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13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85"/>
    <w:rsid w:val="002B5585"/>
    <w:rsid w:val="00383D51"/>
    <w:rsid w:val="006F2B67"/>
    <w:rsid w:val="008446CF"/>
    <w:rsid w:val="0094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4929B"/>
  <w15:chartTrackingRefBased/>
  <w15:docId w15:val="{0AF6A113-FA0E-4B08-9788-F9A6031B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3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Fouad Hossain Sarker</dc:creator>
  <cp:keywords/>
  <dc:description/>
  <cp:lastModifiedBy>Md. Fouad Hossain Sarker</cp:lastModifiedBy>
  <cp:revision>12</cp:revision>
  <dcterms:created xsi:type="dcterms:W3CDTF">2023-09-08T06:01:00Z</dcterms:created>
  <dcterms:modified xsi:type="dcterms:W3CDTF">2023-09-08T06:08:00Z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c6f547dd86c1c75943cd491b0a6b50975dc86e46ed052951a0ff71c6435383d4</vt:lpwstr>
  </property>
</Properties>
</file>