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E45" w:rsidRDefault="00234C03" w:rsidP="000A6BF1">
      <w:pPr>
        <w:pStyle w:val="Header"/>
        <w:spacing w:line="276" w:lineRule="auto"/>
        <w:ind w:firstLine="3600"/>
        <w:rPr>
          <w:b/>
          <w:sz w:val="26"/>
          <w:szCs w:val="24"/>
        </w:rPr>
      </w:pPr>
      <w:r>
        <w:rPr>
          <w:b/>
          <w:noProof/>
          <w:sz w:val="26"/>
          <w:szCs w:val="24"/>
        </w:rPr>
        <w:pict>
          <v:shapetype id="_x0000_t32" coordsize="21600,21600" o:spt="32" o:oned="t" path="m,l21600,21600e" filled="f">
            <v:path arrowok="t" fillok="f" o:connecttype="none"/>
            <o:lock v:ext="edit" shapetype="t"/>
          </v:shapetype>
          <v:shape id="_x0000_s1051" type="#_x0000_t32" style="position:absolute;left:0;text-align:left;margin-left:154.75pt;margin-top:-19.3pt;width:.05pt;height:47.25pt;z-index:251682816" o:connectortype="straight" strokeweight="2.25pt"/>
        </w:pict>
      </w:r>
      <w:r>
        <w:rPr>
          <w:b/>
          <w:noProof/>
          <w:sz w:val="26"/>
          <w:szCs w:val="24"/>
        </w:rPr>
        <w:pict>
          <v:rect id="_x0000_s1042" style="position:absolute;left:0;text-align:left;margin-left:157pt;margin-top:-20.05pt;width:357.5pt;height:65.25pt;z-index:251672576" filled="f" stroked="f">
            <v:textbox style="mso-next-textbox:#_x0000_s1042">
              <w:txbxContent>
                <w:p w:rsidR="00EE3866" w:rsidRDefault="00EE3866" w:rsidP="000E4EA0">
                  <w:pPr>
                    <w:pStyle w:val="Header"/>
                    <w:spacing w:line="276" w:lineRule="auto"/>
                    <w:jc w:val="both"/>
                    <w:rPr>
                      <w:b/>
                      <w:szCs w:val="24"/>
                    </w:rPr>
                  </w:pPr>
                  <w:r w:rsidRPr="000E4EA0">
                    <w:rPr>
                      <w:b/>
                      <w:sz w:val="26"/>
                    </w:rPr>
                    <w:t>Program: Bachelor of Business Administration (BBA)</w:t>
                  </w:r>
                </w:p>
                <w:p w:rsidR="00232A81" w:rsidRPr="00EE3866" w:rsidRDefault="004E1DA8" w:rsidP="000E4EA0">
                  <w:pPr>
                    <w:pStyle w:val="Header"/>
                    <w:spacing w:line="276" w:lineRule="auto"/>
                    <w:jc w:val="both"/>
                    <w:rPr>
                      <w:sz w:val="24"/>
                      <w:szCs w:val="24"/>
                    </w:rPr>
                  </w:pPr>
                  <w:r w:rsidRPr="00EE3866">
                    <w:rPr>
                      <w:sz w:val="24"/>
                      <w:szCs w:val="24"/>
                    </w:rPr>
                    <w:t>Department of Business Administration</w:t>
                  </w:r>
                </w:p>
                <w:p w:rsidR="001014B6" w:rsidRPr="00EE3866" w:rsidRDefault="004E1DA8" w:rsidP="000E4EA0">
                  <w:pPr>
                    <w:pStyle w:val="Header"/>
                    <w:spacing w:line="276" w:lineRule="auto"/>
                    <w:jc w:val="both"/>
                    <w:rPr>
                      <w:sz w:val="24"/>
                      <w:szCs w:val="24"/>
                    </w:rPr>
                  </w:pPr>
                  <w:r w:rsidRPr="00EE3866">
                    <w:rPr>
                      <w:sz w:val="24"/>
                      <w:szCs w:val="24"/>
                    </w:rPr>
                    <w:t>Faculty of Business and Economics</w:t>
                  </w:r>
                </w:p>
                <w:p w:rsidR="001014B6" w:rsidRPr="000E4EA0" w:rsidRDefault="001014B6" w:rsidP="000E4EA0">
                  <w:pPr>
                    <w:pStyle w:val="Header"/>
                    <w:spacing w:line="276" w:lineRule="auto"/>
                    <w:jc w:val="both"/>
                    <w:rPr>
                      <w:b/>
                      <w:sz w:val="26"/>
                    </w:rPr>
                  </w:pPr>
                </w:p>
                <w:p w:rsidR="00232A81" w:rsidRPr="000E4EA0" w:rsidRDefault="00232A81" w:rsidP="000E4EA0">
                  <w:pPr>
                    <w:jc w:val="both"/>
                  </w:pPr>
                </w:p>
              </w:txbxContent>
            </v:textbox>
          </v:rect>
        </w:pict>
      </w:r>
      <w:r w:rsidR="000E4EA0">
        <w:rPr>
          <w:b/>
          <w:noProof/>
          <w:sz w:val="26"/>
          <w:szCs w:val="24"/>
        </w:rPr>
        <w:drawing>
          <wp:anchor distT="0" distB="0" distL="114300" distR="114300" simplePos="0" relativeHeight="251681792" behindDoc="1" locked="0" layoutInCell="1" allowOverlap="1">
            <wp:simplePos x="0" y="0"/>
            <wp:positionH relativeFrom="column">
              <wp:posOffset>38100</wp:posOffset>
            </wp:positionH>
            <wp:positionV relativeFrom="paragraph">
              <wp:posOffset>-216535</wp:posOffset>
            </wp:positionV>
            <wp:extent cx="1838325" cy="600075"/>
            <wp:effectExtent l="19050" t="0" r="9525" b="0"/>
            <wp:wrapNone/>
            <wp:docPr id="3" name="Picture 1" descr="Daffodil Internation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fodil International University"/>
                    <pic:cNvPicPr>
                      <a:picLocks noChangeAspect="1" noChangeArrowheads="1"/>
                    </pic:cNvPicPr>
                  </pic:nvPicPr>
                  <pic:blipFill>
                    <a:blip r:embed="rId7"/>
                    <a:srcRect/>
                    <a:stretch>
                      <a:fillRect/>
                    </a:stretch>
                  </pic:blipFill>
                  <pic:spPr bwMode="auto">
                    <a:xfrm>
                      <a:off x="0" y="0"/>
                      <a:ext cx="1838325" cy="600075"/>
                    </a:xfrm>
                    <a:prstGeom prst="rect">
                      <a:avLst/>
                    </a:prstGeom>
                    <a:noFill/>
                    <a:ln w="9525">
                      <a:noFill/>
                      <a:miter lim="800000"/>
                      <a:headEnd/>
                      <a:tailEnd/>
                    </a:ln>
                  </pic:spPr>
                </pic:pic>
              </a:graphicData>
            </a:graphic>
          </wp:anchor>
        </w:drawing>
      </w:r>
    </w:p>
    <w:p w:rsidR="00232A81" w:rsidRDefault="00232A81" w:rsidP="000A6BF1">
      <w:pPr>
        <w:pStyle w:val="Header"/>
        <w:spacing w:line="276" w:lineRule="auto"/>
        <w:ind w:firstLine="3600"/>
        <w:rPr>
          <w:b/>
          <w:sz w:val="26"/>
          <w:szCs w:val="24"/>
        </w:rPr>
      </w:pPr>
    </w:p>
    <w:p w:rsidR="00232A81" w:rsidRDefault="00234C03" w:rsidP="000A6BF1">
      <w:pPr>
        <w:pStyle w:val="Header"/>
        <w:spacing w:line="276" w:lineRule="auto"/>
        <w:rPr>
          <w:rFonts w:cstheme="minorHAnsi"/>
          <w:color w:val="000000" w:themeColor="text1"/>
        </w:rPr>
      </w:pPr>
      <w:r w:rsidRPr="00234C03">
        <w:rPr>
          <w:noProof/>
          <w:szCs w:val="24"/>
        </w:rPr>
        <w:pict>
          <v:shape id="_x0000_s1028" type="#_x0000_t32" style="position:absolute;margin-left:-80.25pt;margin-top:11.5pt;width:619.5pt;height:0;flip:x;z-index:251662336" o:connectortype="straight"/>
        </w:pict>
      </w:r>
    </w:p>
    <w:p w:rsidR="001014B6" w:rsidRPr="000E4EA0" w:rsidRDefault="001014B6" w:rsidP="000A6BF1">
      <w:pPr>
        <w:pStyle w:val="Header"/>
        <w:spacing w:line="276" w:lineRule="auto"/>
        <w:rPr>
          <w:rFonts w:cstheme="minorHAnsi"/>
          <w:b/>
          <w:color w:val="000000" w:themeColor="text1"/>
          <w:sz w:val="16"/>
          <w:szCs w:val="26"/>
        </w:rPr>
      </w:pPr>
    </w:p>
    <w:tbl>
      <w:tblPr>
        <w:tblStyle w:val="TableGrid"/>
        <w:tblW w:w="0" w:type="auto"/>
        <w:tblInd w:w="198" w:type="dxa"/>
        <w:tblLook w:val="04A0"/>
      </w:tblPr>
      <w:tblGrid>
        <w:gridCol w:w="2160"/>
        <w:gridCol w:w="6885"/>
      </w:tblGrid>
      <w:tr w:rsidR="0028332C" w:rsidTr="000E4EA0">
        <w:tc>
          <w:tcPr>
            <w:tcW w:w="2160" w:type="dxa"/>
          </w:tcPr>
          <w:p w:rsidR="0028332C" w:rsidRPr="000E4EA0" w:rsidRDefault="00D65C8F" w:rsidP="000A6BF1">
            <w:pPr>
              <w:pStyle w:val="style8"/>
              <w:spacing w:after="0" w:line="276" w:lineRule="auto"/>
              <w:jc w:val="both"/>
              <w:rPr>
                <w:rFonts w:asciiTheme="minorHAnsi" w:hAnsiTheme="minorHAnsi" w:cstheme="minorHAnsi"/>
                <w:b/>
                <w:color w:val="000000" w:themeColor="text1"/>
                <w:sz w:val="26"/>
                <w:szCs w:val="26"/>
              </w:rPr>
            </w:pPr>
            <w:r w:rsidRPr="000E4EA0">
              <w:rPr>
                <w:rFonts w:asciiTheme="minorHAnsi" w:hAnsiTheme="minorHAnsi" w:cstheme="minorHAnsi"/>
                <w:b/>
                <w:color w:val="000000" w:themeColor="text1"/>
                <w:sz w:val="26"/>
                <w:szCs w:val="26"/>
              </w:rPr>
              <w:t>Trimester</w:t>
            </w:r>
          </w:p>
        </w:tc>
        <w:tc>
          <w:tcPr>
            <w:tcW w:w="6885" w:type="dxa"/>
          </w:tcPr>
          <w:p w:rsidR="0028332C" w:rsidRPr="000A6BF1" w:rsidRDefault="009B308B" w:rsidP="00AC4AC9">
            <w:pPr>
              <w:pStyle w:val="style8"/>
              <w:spacing w:before="0" w:beforeAutospacing="0" w:after="0" w:afterAutospacing="0" w:line="276" w:lineRule="auto"/>
              <w:jc w:val="both"/>
              <w:rPr>
                <w:rFonts w:asciiTheme="minorHAnsi" w:hAnsiTheme="minorHAnsi" w:cstheme="minorHAnsi"/>
                <w:b/>
                <w:color w:val="000000" w:themeColor="text1"/>
                <w:sz w:val="26"/>
                <w:szCs w:val="26"/>
              </w:rPr>
            </w:pPr>
            <w:r>
              <w:rPr>
                <w:rFonts w:asciiTheme="minorHAnsi" w:hAnsiTheme="minorHAnsi" w:cstheme="minorHAnsi"/>
                <w:b/>
                <w:color w:val="000000" w:themeColor="text1"/>
                <w:sz w:val="26"/>
                <w:szCs w:val="26"/>
              </w:rPr>
              <w:t>Summer’</w:t>
            </w:r>
            <w:bookmarkStart w:id="0" w:name="_GoBack"/>
            <w:bookmarkEnd w:id="0"/>
            <w:r w:rsidR="007C5AA8">
              <w:rPr>
                <w:rFonts w:asciiTheme="minorHAnsi" w:hAnsiTheme="minorHAnsi" w:cstheme="minorHAnsi"/>
                <w:b/>
                <w:color w:val="000000" w:themeColor="text1"/>
                <w:sz w:val="26"/>
                <w:szCs w:val="26"/>
              </w:rPr>
              <w:t>2020</w:t>
            </w:r>
          </w:p>
        </w:tc>
      </w:tr>
      <w:tr w:rsidR="004E1DA8" w:rsidTr="000E4EA0">
        <w:tc>
          <w:tcPr>
            <w:tcW w:w="2160" w:type="dxa"/>
          </w:tcPr>
          <w:p w:rsidR="004E1DA8" w:rsidRPr="000E4EA0" w:rsidRDefault="001A3348" w:rsidP="000A6BF1">
            <w:pPr>
              <w:pStyle w:val="style8"/>
              <w:spacing w:after="0" w:line="276" w:lineRule="auto"/>
              <w:jc w:val="both"/>
              <w:rPr>
                <w:rFonts w:asciiTheme="minorHAnsi" w:hAnsiTheme="minorHAnsi" w:cstheme="minorHAnsi"/>
                <w:b/>
                <w:color w:val="000000" w:themeColor="text1"/>
                <w:sz w:val="26"/>
                <w:szCs w:val="26"/>
              </w:rPr>
            </w:pPr>
            <w:r w:rsidRPr="000E4EA0">
              <w:rPr>
                <w:rFonts w:asciiTheme="minorHAnsi" w:hAnsiTheme="minorHAnsi" w:cstheme="minorHAnsi"/>
                <w:b/>
                <w:color w:val="000000" w:themeColor="text1"/>
                <w:sz w:val="26"/>
                <w:szCs w:val="26"/>
              </w:rPr>
              <w:t>Course Title</w:t>
            </w:r>
          </w:p>
        </w:tc>
        <w:tc>
          <w:tcPr>
            <w:tcW w:w="6885" w:type="dxa"/>
          </w:tcPr>
          <w:p w:rsidR="004E1DA8" w:rsidRPr="000A6BF1" w:rsidRDefault="00840F79" w:rsidP="000A6BF1">
            <w:pPr>
              <w:pStyle w:val="style8"/>
              <w:spacing w:before="0" w:beforeAutospacing="0" w:after="0" w:afterAutospacing="0" w:line="276" w:lineRule="auto"/>
              <w:jc w:val="both"/>
              <w:rPr>
                <w:rFonts w:asciiTheme="minorHAnsi" w:hAnsiTheme="minorHAnsi" w:cstheme="minorHAnsi"/>
                <w:b/>
                <w:color w:val="000000" w:themeColor="text1"/>
                <w:sz w:val="26"/>
                <w:szCs w:val="26"/>
              </w:rPr>
            </w:pPr>
            <w:r w:rsidRPr="000A6BF1">
              <w:rPr>
                <w:rFonts w:asciiTheme="minorHAnsi" w:hAnsiTheme="minorHAnsi" w:cstheme="minorHAnsi"/>
                <w:b/>
                <w:color w:val="000000" w:themeColor="text1"/>
                <w:sz w:val="26"/>
                <w:szCs w:val="26"/>
              </w:rPr>
              <w:t>Financial Management</w:t>
            </w:r>
          </w:p>
        </w:tc>
      </w:tr>
      <w:tr w:rsidR="0028332C" w:rsidTr="000E4EA0">
        <w:tc>
          <w:tcPr>
            <w:tcW w:w="2160" w:type="dxa"/>
          </w:tcPr>
          <w:p w:rsidR="0028332C" w:rsidRPr="000E4EA0" w:rsidRDefault="0028332C" w:rsidP="000A6BF1">
            <w:pPr>
              <w:pStyle w:val="style8"/>
              <w:spacing w:after="0" w:line="276" w:lineRule="auto"/>
              <w:jc w:val="both"/>
              <w:rPr>
                <w:rFonts w:asciiTheme="minorHAnsi" w:hAnsiTheme="minorHAnsi" w:cstheme="minorHAnsi"/>
                <w:b/>
                <w:color w:val="000000" w:themeColor="text1"/>
                <w:sz w:val="26"/>
                <w:szCs w:val="26"/>
              </w:rPr>
            </w:pPr>
            <w:r w:rsidRPr="000E4EA0">
              <w:rPr>
                <w:rFonts w:asciiTheme="minorHAnsi" w:hAnsiTheme="minorHAnsi" w:cstheme="minorHAnsi"/>
                <w:b/>
                <w:color w:val="000000" w:themeColor="text1"/>
                <w:sz w:val="26"/>
                <w:szCs w:val="26"/>
              </w:rPr>
              <w:t>Course Code</w:t>
            </w:r>
          </w:p>
        </w:tc>
        <w:tc>
          <w:tcPr>
            <w:tcW w:w="6885" w:type="dxa"/>
          </w:tcPr>
          <w:p w:rsidR="0028332C" w:rsidRPr="000A6BF1" w:rsidRDefault="00840F79" w:rsidP="000A6BF1">
            <w:pPr>
              <w:pStyle w:val="style8"/>
              <w:spacing w:before="0" w:beforeAutospacing="0" w:after="0" w:afterAutospacing="0" w:line="276" w:lineRule="auto"/>
              <w:jc w:val="both"/>
              <w:rPr>
                <w:rFonts w:asciiTheme="minorHAnsi" w:hAnsiTheme="minorHAnsi" w:cstheme="minorHAnsi"/>
                <w:b/>
                <w:color w:val="000000" w:themeColor="text1"/>
                <w:sz w:val="26"/>
                <w:szCs w:val="26"/>
              </w:rPr>
            </w:pPr>
            <w:r w:rsidRPr="000A6BF1">
              <w:rPr>
                <w:rFonts w:asciiTheme="minorHAnsi" w:hAnsiTheme="minorHAnsi" w:cstheme="minorHAnsi"/>
                <w:b/>
                <w:color w:val="000000" w:themeColor="text1"/>
                <w:sz w:val="26"/>
                <w:szCs w:val="26"/>
              </w:rPr>
              <w:t>FIN-202</w:t>
            </w:r>
          </w:p>
        </w:tc>
      </w:tr>
      <w:tr w:rsidR="0028332C" w:rsidTr="000E4EA0">
        <w:tc>
          <w:tcPr>
            <w:tcW w:w="2160" w:type="dxa"/>
          </w:tcPr>
          <w:p w:rsidR="0028332C" w:rsidRPr="000E4EA0" w:rsidRDefault="0028332C" w:rsidP="000A6BF1">
            <w:pPr>
              <w:pStyle w:val="style8"/>
              <w:spacing w:after="0" w:line="276" w:lineRule="auto"/>
              <w:jc w:val="both"/>
              <w:rPr>
                <w:rFonts w:asciiTheme="minorHAnsi" w:hAnsiTheme="minorHAnsi" w:cstheme="minorHAnsi"/>
                <w:b/>
                <w:color w:val="000000" w:themeColor="text1"/>
                <w:sz w:val="26"/>
                <w:szCs w:val="26"/>
              </w:rPr>
            </w:pPr>
            <w:r w:rsidRPr="000E4EA0">
              <w:rPr>
                <w:rFonts w:asciiTheme="minorHAnsi" w:hAnsiTheme="minorHAnsi" w:cstheme="minorHAnsi"/>
                <w:b/>
                <w:color w:val="000000" w:themeColor="text1"/>
                <w:sz w:val="26"/>
                <w:szCs w:val="26"/>
              </w:rPr>
              <w:t>Course Instructor</w:t>
            </w:r>
          </w:p>
        </w:tc>
        <w:tc>
          <w:tcPr>
            <w:tcW w:w="6885" w:type="dxa"/>
          </w:tcPr>
          <w:p w:rsidR="0028332C" w:rsidRPr="008F2C73" w:rsidRDefault="007C5AA8" w:rsidP="000A6BF1">
            <w:pPr>
              <w:pStyle w:val="style8"/>
              <w:spacing w:before="0" w:beforeAutospacing="0" w:after="0" w:afterAutospacing="0" w:line="276" w:lineRule="auto"/>
              <w:jc w:val="both"/>
              <w:rPr>
                <w:rFonts w:asciiTheme="minorHAnsi" w:hAnsiTheme="minorHAnsi" w:cstheme="minorHAnsi"/>
                <w:b/>
                <w:color w:val="000000" w:themeColor="text1"/>
                <w:sz w:val="26"/>
                <w:szCs w:val="26"/>
              </w:rPr>
            </w:pPr>
            <w:r>
              <w:rPr>
                <w:rFonts w:asciiTheme="minorHAnsi" w:hAnsiTheme="minorHAnsi" w:cstheme="minorHAnsi"/>
                <w:b/>
                <w:color w:val="000000" w:themeColor="text1"/>
                <w:sz w:val="26"/>
                <w:szCs w:val="26"/>
              </w:rPr>
              <w:t>Md Anhar Sharif Mollah</w:t>
            </w:r>
          </w:p>
        </w:tc>
      </w:tr>
      <w:tr w:rsidR="0028332C" w:rsidTr="000E4EA0">
        <w:tc>
          <w:tcPr>
            <w:tcW w:w="2160" w:type="dxa"/>
          </w:tcPr>
          <w:p w:rsidR="0028332C" w:rsidRPr="000E4EA0" w:rsidRDefault="0028332C" w:rsidP="000A6BF1">
            <w:pPr>
              <w:spacing w:line="276" w:lineRule="auto"/>
              <w:rPr>
                <w:rFonts w:cstheme="minorHAnsi"/>
                <w:b/>
                <w:sz w:val="26"/>
                <w:szCs w:val="26"/>
              </w:rPr>
            </w:pPr>
            <w:r w:rsidRPr="000E4EA0">
              <w:rPr>
                <w:rFonts w:cstheme="minorHAnsi"/>
                <w:b/>
                <w:sz w:val="26"/>
                <w:szCs w:val="26"/>
              </w:rPr>
              <w:t>E-mail</w:t>
            </w:r>
          </w:p>
        </w:tc>
        <w:tc>
          <w:tcPr>
            <w:tcW w:w="6885" w:type="dxa"/>
          </w:tcPr>
          <w:p w:rsidR="0028332C" w:rsidRPr="00840F79" w:rsidRDefault="007C5AA8" w:rsidP="007C5AA8">
            <w:pPr>
              <w:pStyle w:val="style8"/>
              <w:spacing w:before="0" w:beforeAutospacing="0" w:after="0" w:afterAutospacing="0" w:line="276" w:lineRule="auto"/>
              <w:jc w:val="both"/>
              <w:rPr>
                <w:rFonts w:asciiTheme="minorHAnsi" w:hAnsiTheme="minorHAnsi" w:cstheme="minorHAnsi"/>
                <w:color w:val="000000" w:themeColor="text1"/>
                <w:sz w:val="26"/>
                <w:szCs w:val="26"/>
              </w:rPr>
            </w:pPr>
            <w:hyperlink r:id="rId8" w:history="1">
              <w:r w:rsidRPr="003659E4">
                <w:rPr>
                  <w:rStyle w:val="Hyperlink"/>
                  <w:rFonts w:asciiTheme="minorHAnsi" w:hAnsiTheme="minorHAnsi" w:cstheme="minorHAnsi"/>
                  <w:sz w:val="26"/>
                  <w:szCs w:val="26"/>
                </w:rPr>
                <w:t>anhar.bba@diu.edu.bd</w:t>
              </w:r>
            </w:hyperlink>
          </w:p>
        </w:tc>
      </w:tr>
      <w:tr w:rsidR="0028332C" w:rsidTr="000E4EA0">
        <w:tc>
          <w:tcPr>
            <w:tcW w:w="2160" w:type="dxa"/>
          </w:tcPr>
          <w:p w:rsidR="0028332C" w:rsidRPr="000E4EA0" w:rsidRDefault="0028332C" w:rsidP="000A6BF1">
            <w:pPr>
              <w:spacing w:line="276" w:lineRule="auto"/>
              <w:rPr>
                <w:rFonts w:cstheme="minorHAnsi"/>
                <w:b/>
                <w:sz w:val="26"/>
                <w:szCs w:val="26"/>
              </w:rPr>
            </w:pPr>
            <w:r w:rsidRPr="000E4EA0">
              <w:rPr>
                <w:rFonts w:cstheme="minorHAnsi"/>
                <w:b/>
                <w:sz w:val="26"/>
                <w:szCs w:val="26"/>
              </w:rPr>
              <w:t>Cell</w:t>
            </w:r>
          </w:p>
        </w:tc>
        <w:tc>
          <w:tcPr>
            <w:tcW w:w="6885" w:type="dxa"/>
          </w:tcPr>
          <w:p w:rsidR="0028332C" w:rsidRPr="008F2C73" w:rsidRDefault="008F2C73" w:rsidP="007C5AA8">
            <w:pPr>
              <w:pStyle w:val="style8"/>
              <w:spacing w:before="0" w:beforeAutospacing="0" w:after="0" w:afterAutospacing="0" w:line="276" w:lineRule="auto"/>
              <w:jc w:val="both"/>
              <w:rPr>
                <w:rFonts w:asciiTheme="minorHAnsi" w:hAnsiTheme="minorHAnsi" w:cstheme="minorHAnsi"/>
                <w:b/>
                <w:color w:val="000000" w:themeColor="text1"/>
                <w:sz w:val="26"/>
                <w:szCs w:val="26"/>
              </w:rPr>
            </w:pPr>
            <w:r w:rsidRPr="008F2C73">
              <w:rPr>
                <w:rFonts w:asciiTheme="minorHAnsi" w:hAnsiTheme="minorHAnsi" w:cstheme="minorHAnsi"/>
                <w:b/>
                <w:color w:val="000000" w:themeColor="text1"/>
                <w:sz w:val="26"/>
                <w:szCs w:val="26"/>
              </w:rPr>
              <w:t>017</w:t>
            </w:r>
            <w:r w:rsidR="007C5AA8">
              <w:rPr>
                <w:rFonts w:asciiTheme="minorHAnsi" w:hAnsiTheme="minorHAnsi" w:cstheme="minorHAnsi"/>
                <w:b/>
                <w:color w:val="000000" w:themeColor="text1"/>
                <w:sz w:val="26"/>
                <w:szCs w:val="26"/>
              </w:rPr>
              <w:t>58883609</w:t>
            </w:r>
          </w:p>
        </w:tc>
      </w:tr>
    </w:tbl>
    <w:p w:rsidR="0028332C" w:rsidRPr="000A6BF1" w:rsidRDefault="0028332C" w:rsidP="000A6BF1">
      <w:pPr>
        <w:pStyle w:val="style8"/>
        <w:spacing w:before="0" w:beforeAutospacing="0" w:after="0" w:afterAutospacing="0" w:line="276" w:lineRule="auto"/>
        <w:jc w:val="both"/>
        <w:rPr>
          <w:rFonts w:asciiTheme="minorHAnsi" w:hAnsiTheme="minorHAnsi" w:cstheme="minorHAnsi"/>
          <w:b/>
          <w:color w:val="000000" w:themeColor="text1"/>
          <w:sz w:val="12"/>
          <w:szCs w:val="26"/>
        </w:rPr>
      </w:pPr>
    </w:p>
    <w:p w:rsidR="00ED77AC" w:rsidRPr="00456445" w:rsidRDefault="00234C03" w:rsidP="000A6BF1">
      <w:r w:rsidRPr="00234C03">
        <w:rPr>
          <w:noProof/>
          <w:sz w:val="28"/>
        </w:rPr>
        <w:pict>
          <v:rect id="_x0000_s1048" style="position:absolute;margin-left:2.5pt;margin-top:19.55pt;width:452.95pt;height:70.65pt;z-index:251679744">
            <v:textbox>
              <w:txbxContent>
                <w:p w:rsidR="008C7B03" w:rsidRDefault="008C7B03" w:rsidP="006863D7">
                  <w:pPr>
                    <w:jc w:val="both"/>
                  </w:pPr>
                  <w:r>
                    <w:t xml:space="preserve">This is the second-level course in finance which provides students with a </w:t>
                  </w:r>
                  <w:r w:rsidR="006863D7">
                    <w:t>conceptual understanding of financial economics, thus constituting a sound theoretical basis for analyzing financial management issues, and emphasizes analytical tools and their usage in solving financial problems.</w:t>
                  </w:r>
                </w:p>
              </w:txbxContent>
            </v:textbox>
          </v:rect>
        </w:pict>
      </w:r>
      <w:r w:rsidR="00ED77AC" w:rsidRPr="00456445">
        <w:rPr>
          <w:rStyle w:val="style11"/>
          <w:rFonts w:cstheme="minorHAnsi"/>
          <w:b/>
          <w:sz w:val="28"/>
          <w:szCs w:val="24"/>
        </w:rPr>
        <w:t>Course Description:</w:t>
      </w:r>
    </w:p>
    <w:p w:rsidR="00EF287B" w:rsidRPr="00B1618A" w:rsidRDefault="00EF287B" w:rsidP="000A6BF1">
      <w:pPr>
        <w:rPr>
          <w:sz w:val="7"/>
          <w:szCs w:val="23"/>
        </w:rPr>
      </w:pPr>
    </w:p>
    <w:p w:rsidR="00456445" w:rsidRDefault="00456445" w:rsidP="000A6BF1">
      <w:pPr>
        <w:rPr>
          <w:rStyle w:val="style11"/>
          <w:rFonts w:cstheme="minorHAnsi"/>
          <w:b/>
          <w:sz w:val="24"/>
          <w:szCs w:val="24"/>
        </w:rPr>
      </w:pPr>
    </w:p>
    <w:p w:rsidR="00456445" w:rsidRDefault="00456445" w:rsidP="000A6BF1">
      <w:pPr>
        <w:rPr>
          <w:rStyle w:val="style11"/>
          <w:rFonts w:cstheme="minorHAnsi"/>
          <w:b/>
          <w:sz w:val="24"/>
          <w:szCs w:val="24"/>
        </w:rPr>
      </w:pPr>
    </w:p>
    <w:p w:rsidR="00ED77AC" w:rsidRPr="00B020E8" w:rsidRDefault="00234C03" w:rsidP="000A6BF1">
      <w:pPr>
        <w:rPr>
          <w:b/>
          <w:noProof/>
          <w:sz w:val="28"/>
        </w:rPr>
      </w:pPr>
      <w:r>
        <w:rPr>
          <w:b/>
          <w:noProof/>
          <w:sz w:val="28"/>
        </w:rPr>
        <w:pict>
          <v:rect id="_x0000_s1049" style="position:absolute;margin-left:2.5pt;margin-top:20.25pt;width:452.95pt;height:161.6pt;z-index:251680768">
            <v:textbox>
              <w:txbxContent>
                <w:p w:rsidR="008C7B03" w:rsidRPr="006863D7" w:rsidRDefault="008C7B03" w:rsidP="008C7B03">
                  <w:pPr>
                    <w:jc w:val="both"/>
                  </w:pPr>
                  <w:r w:rsidRPr="006863D7">
                    <w:t xml:space="preserve">The course aims to assist the students to develop a thorough understanding of the concepts and theories of underlying financial management in a systematic way. To accomplish this purpose, the recent thinking in the field of finance has been presented in a most lucid, simple and precise manner so that the students will understand financial decisions thoroughly and will be able to evaluate their implications for shareholders and the companies. Students, even those who do not plan to do major in finance but enjoy working with stock and bond valuation models, rates of return, and the like will be benefited by the knowledge of this course. In addition, this course provides the design and delivery of advice and a variety of interesting career opportunities within the areas of banking and related institutions, personal financial planning, investments, real estate, and insurance. </w:t>
                  </w:r>
                </w:p>
                <w:p w:rsidR="008C7B03" w:rsidRDefault="008C7B03"/>
              </w:txbxContent>
            </v:textbox>
          </v:rect>
        </w:pict>
      </w:r>
      <w:r w:rsidR="00ED77AC" w:rsidRPr="00B020E8">
        <w:rPr>
          <w:b/>
          <w:noProof/>
          <w:sz w:val="28"/>
        </w:rPr>
        <w:t>Course Objectives:</w:t>
      </w:r>
    </w:p>
    <w:p w:rsidR="00D83E45" w:rsidRDefault="00D83E45" w:rsidP="000A6BF1">
      <w:pPr>
        <w:rPr>
          <w:sz w:val="18"/>
        </w:rPr>
      </w:pPr>
    </w:p>
    <w:p w:rsidR="00456445" w:rsidRDefault="00456445" w:rsidP="000A6BF1">
      <w:pPr>
        <w:rPr>
          <w:sz w:val="18"/>
        </w:rPr>
      </w:pPr>
    </w:p>
    <w:p w:rsidR="00456445" w:rsidRDefault="00456445" w:rsidP="000A6BF1">
      <w:pPr>
        <w:rPr>
          <w:sz w:val="18"/>
        </w:rPr>
      </w:pPr>
    </w:p>
    <w:p w:rsidR="00456445" w:rsidRDefault="00456445" w:rsidP="000A6BF1">
      <w:pPr>
        <w:rPr>
          <w:sz w:val="18"/>
        </w:rPr>
      </w:pPr>
    </w:p>
    <w:p w:rsidR="00456445" w:rsidRDefault="00456445" w:rsidP="000A6BF1">
      <w:pPr>
        <w:rPr>
          <w:sz w:val="18"/>
        </w:rPr>
      </w:pPr>
    </w:p>
    <w:p w:rsidR="008C7B03" w:rsidRDefault="008C7B03" w:rsidP="000A6BF1">
      <w:pPr>
        <w:rPr>
          <w:b/>
          <w:noProof/>
          <w:sz w:val="28"/>
        </w:rPr>
      </w:pPr>
    </w:p>
    <w:p w:rsidR="006863D7" w:rsidRPr="006863D7" w:rsidRDefault="006863D7" w:rsidP="000A6BF1">
      <w:pPr>
        <w:rPr>
          <w:b/>
          <w:noProof/>
          <w:sz w:val="16"/>
        </w:rPr>
      </w:pPr>
    </w:p>
    <w:p w:rsidR="00A82537" w:rsidRDefault="00AB6129" w:rsidP="000A6BF1">
      <w:pPr>
        <w:rPr>
          <w:b/>
          <w:noProof/>
          <w:sz w:val="28"/>
        </w:rPr>
      </w:pPr>
      <w:r w:rsidRPr="006841A9">
        <w:rPr>
          <w:b/>
          <w:noProof/>
          <w:sz w:val="28"/>
        </w:rPr>
        <w:t>C</w:t>
      </w:r>
      <w:r w:rsidR="00A82537" w:rsidRPr="006841A9">
        <w:rPr>
          <w:b/>
          <w:noProof/>
          <w:sz w:val="28"/>
        </w:rPr>
        <w:t>ourse Materials and Readings:</w:t>
      </w:r>
    </w:p>
    <w:tbl>
      <w:tblPr>
        <w:tblStyle w:val="TableGrid"/>
        <w:tblW w:w="0" w:type="auto"/>
        <w:tblInd w:w="108" w:type="dxa"/>
        <w:tblLook w:val="04A0"/>
      </w:tblPr>
      <w:tblGrid>
        <w:gridCol w:w="9135"/>
      </w:tblGrid>
      <w:tr w:rsidR="001014B6" w:rsidTr="000A6BF1">
        <w:trPr>
          <w:trHeight w:val="719"/>
        </w:trPr>
        <w:tc>
          <w:tcPr>
            <w:tcW w:w="9135" w:type="dxa"/>
          </w:tcPr>
          <w:p w:rsidR="001014B6" w:rsidRPr="000A6BF1" w:rsidRDefault="001014B6" w:rsidP="000A6BF1">
            <w:pPr>
              <w:spacing w:line="276" w:lineRule="auto"/>
              <w:rPr>
                <w:b/>
                <w:noProof/>
                <w:sz w:val="24"/>
                <w:szCs w:val="24"/>
              </w:rPr>
            </w:pPr>
            <w:r w:rsidRPr="000A6BF1">
              <w:rPr>
                <w:b/>
                <w:noProof/>
                <w:sz w:val="24"/>
                <w:szCs w:val="24"/>
              </w:rPr>
              <w:t>Text Book:</w:t>
            </w:r>
          </w:p>
          <w:p w:rsidR="001014B6" w:rsidRPr="000A6BF1" w:rsidRDefault="0005443D" w:rsidP="000A6BF1">
            <w:pPr>
              <w:pStyle w:val="ListParagraph"/>
              <w:numPr>
                <w:ilvl w:val="0"/>
                <w:numId w:val="10"/>
              </w:numPr>
              <w:spacing w:line="276" w:lineRule="auto"/>
              <w:jc w:val="both"/>
              <w:rPr>
                <w:rFonts w:cstheme="minorHAnsi"/>
                <w:sz w:val="24"/>
                <w:szCs w:val="24"/>
              </w:rPr>
            </w:pPr>
            <w:r w:rsidRPr="000A6BF1">
              <w:rPr>
                <w:rFonts w:cstheme="minorHAnsi"/>
                <w:sz w:val="24"/>
                <w:szCs w:val="24"/>
              </w:rPr>
              <w:t>P</w:t>
            </w:r>
            <w:r w:rsidR="000A6BF1" w:rsidRPr="000A6BF1">
              <w:rPr>
                <w:rFonts w:cstheme="minorHAnsi"/>
                <w:sz w:val="24"/>
                <w:szCs w:val="24"/>
              </w:rPr>
              <w:t xml:space="preserve">rinciples of Managerial Finance by </w:t>
            </w:r>
            <w:r w:rsidRPr="000A6BF1">
              <w:rPr>
                <w:rFonts w:cstheme="minorHAnsi"/>
                <w:sz w:val="24"/>
                <w:szCs w:val="24"/>
              </w:rPr>
              <w:t>-L.J. Gitman (Latest Edition)</w:t>
            </w:r>
          </w:p>
          <w:p w:rsidR="000A6BF1" w:rsidRPr="000A6BF1" w:rsidRDefault="000A6BF1" w:rsidP="000A6BF1">
            <w:pPr>
              <w:spacing w:line="276" w:lineRule="auto"/>
              <w:rPr>
                <w:b/>
                <w:noProof/>
                <w:sz w:val="24"/>
                <w:szCs w:val="24"/>
              </w:rPr>
            </w:pPr>
            <w:r w:rsidRPr="000A6BF1">
              <w:rPr>
                <w:b/>
                <w:noProof/>
                <w:sz w:val="24"/>
                <w:szCs w:val="24"/>
              </w:rPr>
              <w:t>Reference Books:</w:t>
            </w:r>
          </w:p>
          <w:p w:rsidR="000A6BF1" w:rsidRPr="000A6BF1" w:rsidRDefault="000A6BF1" w:rsidP="000A6BF1">
            <w:pPr>
              <w:pStyle w:val="ListParagraph"/>
              <w:numPr>
                <w:ilvl w:val="0"/>
                <w:numId w:val="13"/>
              </w:numPr>
              <w:tabs>
                <w:tab w:val="left" w:pos="720"/>
                <w:tab w:val="num" w:pos="1080"/>
              </w:tabs>
              <w:spacing w:line="276" w:lineRule="auto"/>
              <w:jc w:val="both"/>
              <w:rPr>
                <w:rFonts w:cstheme="minorHAnsi"/>
                <w:sz w:val="24"/>
                <w:szCs w:val="24"/>
              </w:rPr>
            </w:pPr>
            <w:r w:rsidRPr="000A6BF1">
              <w:rPr>
                <w:rFonts w:cstheme="minorHAnsi"/>
                <w:sz w:val="24"/>
                <w:szCs w:val="24"/>
              </w:rPr>
              <w:t xml:space="preserve">Financial Management </w:t>
            </w:r>
            <w:r w:rsidRPr="000A6BF1">
              <w:rPr>
                <w:rFonts w:cstheme="minorHAnsi"/>
                <w:i/>
                <w:sz w:val="24"/>
                <w:szCs w:val="24"/>
              </w:rPr>
              <w:t xml:space="preserve">Theory and Practice by </w:t>
            </w:r>
            <w:r w:rsidRPr="000A6BF1">
              <w:rPr>
                <w:rFonts w:cstheme="minorHAnsi"/>
                <w:sz w:val="24"/>
                <w:szCs w:val="24"/>
              </w:rPr>
              <w:t>Brigham , Ehrhardt</w:t>
            </w:r>
          </w:p>
          <w:p w:rsidR="000A6BF1" w:rsidRPr="000A6BF1" w:rsidRDefault="000A6BF1" w:rsidP="000A6BF1">
            <w:pPr>
              <w:pStyle w:val="ListParagraph"/>
              <w:numPr>
                <w:ilvl w:val="0"/>
                <w:numId w:val="13"/>
              </w:numPr>
              <w:tabs>
                <w:tab w:val="left" w:pos="720"/>
                <w:tab w:val="num" w:pos="1080"/>
              </w:tabs>
              <w:spacing w:line="276" w:lineRule="auto"/>
              <w:jc w:val="both"/>
              <w:rPr>
                <w:rFonts w:cstheme="minorHAnsi"/>
                <w:sz w:val="24"/>
                <w:szCs w:val="24"/>
              </w:rPr>
            </w:pPr>
            <w:r w:rsidRPr="000A6BF1">
              <w:rPr>
                <w:rFonts w:cstheme="minorHAnsi"/>
                <w:sz w:val="24"/>
                <w:szCs w:val="24"/>
              </w:rPr>
              <w:t xml:space="preserve">Fundamentals of Managerial Finance by  J. C. Van Horne    </w:t>
            </w:r>
          </w:p>
          <w:p w:rsidR="000A6BF1" w:rsidRPr="000A6BF1" w:rsidRDefault="000A6BF1" w:rsidP="000A6BF1">
            <w:pPr>
              <w:pStyle w:val="ListParagraph"/>
              <w:numPr>
                <w:ilvl w:val="0"/>
                <w:numId w:val="13"/>
              </w:numPr>
              <w:tabs>
                <w:tab w:val="left" w:pos="720"/>
                <w:tab w:val="num" w:pos="1080"/>
              </w:tabs>
              <w:spacing w:line="276" w:lineRule="auto"/>
              <w:jc w:val="both"/>
              <w:rPr>
                <w:rFonts w:cstheme="minorHAnsi"/>
                <w:sz w:val="24"/>
                <w:szCs w:val="24"/>
              </w:rPr>
            </w:pPr>
            <w:r w:rsidRPr="000A6BF1">
              <w:rPr>
                <w:rFonts w:cstheme="minorHAnsi"/>
                <w:sz w:val="24"/>
                <w:szCs w:val="24"/>
              </w:rPr>
              <w:t>Financial Management by Professor M. Shahjahan Mina</w:t>
            </w:r>
          </w:p>
          <w:p w:rsidR="000A6BF1" w:rsidRPr="000A6BF1" w:rsidRDefault="000A6BF1" w:rsidP="000A6BF1">
            <w:pPr>
              <w:pStyle w:val="ListParagraph"/>
              <w:numPr>
                <w:ilvl w:val="0"/>
                <w:numId w:val="13"/>
              </w:numPr>
              <w:tabs>
                <w:tab w:val="left" w:pos="720"/>
                <w:tab w:val="num" w:pos="1080"/>
              </w:tabs>
              <w:spacing w:line="276" w:lineRule="auto"/>
              <w:jc w:val="both"/>
              <w:rPr>
                <w:rFonts w:cstheme="minorHAnsi"/>
                <w:szCs w:val="20"/>
              </w:rPr>
            </w:pPr>
            <w:r w:rsidRPr="000A6BF1">
              <w:rPr>
                <w:rFonts w:cstheme="minorHAnsi"/>
                <w:sz w:val="24"/>
                <w:szCs w:val="24"/>
              </w:rPr>
              <w:t>Fundamentals of Finance by Professor M. Shahjahan Mina</w:t>
            </w:r>
          </w:p>
          <w:p w:rsidR="000A6BF1" w:rsidRPr="000A6BF1" w:rsidRDefault="000A6BF1" w:rsidP="000A6BF1">
            <w:pPr>
              <w:pStyle w:val="ListParagraph"/>
              <w:numPr>
                <w:ilvl w:val="0"/>
                <w:numId w:val="13"/>
              </w:numPr>
              <w:tabs>
                <w:tab w:val="left" w:pos="720"/>
                <w:tab w:val="num" w:pos="1080"/>
              </w:tabs>
              <w:spacing w:line="276" w:lineRule="auto"/>
              <w:jc w:val="both"/>
              <w:rPr>
                <w:rFonts w:cstheme="minorHAnsi"/>
                <w:szCs w:val="20"/>
              </w:rPr>
            </w:pPr>
            <w:r w:rsidRPr="000A6BF1">
              <w:rPr>
                <w:rFonts w:cstheme="minorHAnsi"/>
                <w:sz w:val="24"/>
                <w:szCs w:val="24"/>
              </w:rPr>
              <w:t>CFA Program Curriculum, Level-I</w:t>
            </w:r>
          </w:p>
        </w:tc>
      </w:tr>
    </w:tbl>
    <w:p w:rsidR="000A6BF1" w:rsidRDefault="000A6BF1" w:rsidP="000A6BF1">
      <w:pPr>
        <w:spacing w:after="0"/>
        <w:jc w:val="center"/>
        <w:rPr>
          <w:rFonts w:ascii="Calibri" w:hAnsi="Calibri" w:cs="Calibri"/>
          <w:b/>
          <w:sz w:val="30"/>
          <w:szCs w:val="24"/>
        </w:rPr>
      </w:pPr>
    </w:p>
    <w:p w:rsidR="000A6BF1" w:rsidRDefault="000A6BF1" w:rsidP="000A6BF1">
      <w:pPr>
        <w:spacing w:after="0"/>
        <w:jc w:val="center"/>
        <w:rPr>
          <w:rFonts w:ascii="Calibri" w:hAnsi="Calibri" w:cs="Calibri"/>
          <w:b/>
          <w:sz w:val="30"/>
          <w:szCs w:val="24"/>
        </w:rPr>
      </w:pPr>
    </w:p>
    <w:p w:rsidR="000A6BF1" w:rsidRDefault="000A6BF1" w:rsidP="000A6BF1">
      <w:pPr>
        <w:spacing w:after="0"/>
        <w:jc w:val="center"/>
        <w:rPr>
          <w:rFonts w:ascii="Calibri" w:hAnsi="Calibri" w:cs="Calibri"/>
          <w:b/>
          <w:sz w:val="30"/>
          <w:szCs w:val="24"/>
        </w:rPr>
      </w:pPr>
    </w:p>
    <w:p w:rsidR="003608D9" w:rsidRPr="0089505F" w:rsidRDefault="00EB0F3E" w:rsidP="000A6BF1">
      <w:pPr>
        <w:spacing w:after="0"/>
        <w:jc w:val="center"/>
        <w:rPr>
          <w:rFonts w:ascii="Calibri" w:hAnsi="Calibri" w:cs="Calibri"/>
          <w:b/>
          <w:sz w:val="30"/>
          <w:szCs w:val="24"/>
        </w:rPr>
      </w:pPr>
      <w:r w:rsidRPr="0089505F">
        <w:rPr>
          <w:rFonts w:ascii="Calibri" w:hAnsi="Calibri" w:cs="Calibri"/>
          <w:b/>
          <w:sz w:val="30"/>
          <w:szCs w:val="24"/>
        </w:rPr>
        <w:lastRenderedPageBreak/>
        <w:t>Lecture Schedules</w:t>
      </w:r>
    </w:p>
    <w:p w:rsidR="00EB0F3E" w:rsidRPr="00EB0F3E" w:rsidRDefault="00EB0F3E" w:rsidP="000A6BF1">
      <w:pPr>
        <w:spacing w:after="0"/>
        <w:jc w:val="center"/>
        <w:rPr>
          <w:rFonts w:ascii="Calibri" w:hAnsi="Calibri" w:cs="Calibri"/>
          <w:b/>
          <w:sz w:val="6"/>
        </w:rPr>
      </w:pPr>
    </w:p>
    <w:p w:rsidR="003608D9" w:rsidRPr="003D02BF" w:rsidRDefault="003608D9" w:rsidP="000A6BF1">
      <w:pPr>
        <w:spacing w:after="0"/>
        <w:jc w:val="center"/>
        <w:rPr>
          <w:rFonts w:ascii="Calibri" w:hAnsi="Calibri" w:cs="Calibri"/>
          <w:b/>
          <w:sz w:val="6"/>
        </w:rPr>
      </w:pPr>
    </w:p>
    <w:tbl>
      <w:tblPr>
        <w:tblStyle w:val="TableGrid"/>
        <w:tblW w:w="5000" w:type="pct"/>
        <w:tblLook w:val="01E0"/>
      </w:tblPr>
      <w:tblGrid>
        <w:gridCol w:w="1366"/>
        <w:gridCol w:w="2640"/>
        <w:gridCol w:w="5237"/>
      </w:tblGrid>
      <w:tr w:rsidR="00BE6B1B" w:rsidRPr="000A6BF1" w:rsidTr="000A6BF1">
        <w:trPr>
          <w:trHeight w:val="361"/>
        </w:trPr>
        <w:tc>
          <w:tcPr>
            <w:tcW w:w="739" w:type="pct"/>
          </w:tcPr>
          <w:p w:rsidR="00BE6B1B" w:rsidRPr="000A6BF1" w:rsidRDefault="00B020E8" w:rsidP="000A6BF1">
            <w:pPr>
              <w:spacing w:line="276" w:lineRule="auto"/>
              <w:jc w:val="center"/>
              <w:rPr>
                <w:rFonts w:cstheme="minorHAnsi"/>
                <w:b/>
                <w:color w:val="000000" w:themeColor="text1"/>
                <w:sz w:val="24"/>
                <w:szCs w:val="24"/>
              </w:rPr>
            </w:pPr>
            <w:r w:rsidRPr="000A6BF1">
              <w:rPr>
                <w:rFonts w:cstheme="minorHAnsi"/>
                <w:b/>
                <w:color w:val="000000" w:themeColor="text1"/>
                <w:sz w:val="24"/>
                <w:szCs w:val="24"/>
              </w:rPr>
              <w:t>Chapter</w:t>
            </w:r>
          </w:p>
        </w:tc>
        <w:tc>
          <w:tcPr>
            <w:tcW w:w="1428" w:type="pct"/>
          </w:tcPr>
          <w:p w:rsidR="00BE6B1B" w:rsidRPr="000A6BF1" w:rsidRDefault="00B020E8" w:rsidP="000A6BF1">
            <w:pPr>
              <w:spacing w:line="276" w:lineRule="auto"/>
              <w:jc w:val="center"/>
              <w:rPr>
                <w:rFonts w:cstheme="minorHAnsi"/>
                <w:b/>
                <w:color w:val="000000" w:themeColor="text1"/>
                <w:sz w:val="24"/>
                <w:szCs w:val="24"/>
              </w:rPr>
            </w:pPr>
            <w:r w:rsidRPr="000A6BF1">
              <w:rPr>
                <w:rFonts w:cstheme="minorHAnsi"/>
                <w:b/>
                <w:color w:val="000000" w:themeColor="text1"/>
                <w:sz w:val="24"/>
                <w:szCs w:val="24"/>
              </w:rPr>
              <w:t>Chapter Name</w:t>
            </w:r>
          </w:p>
        </w:tc>
        <w:tc>
          <w:tcPr>
            <w:tcW w:w="2833" w:type="pct"/>
          </w:tcPr>
          <w:p w:rsidR="00BE6B1B" w:rsidRPr="000A6BF1" w:rsidRDefault="00BE6B1B" w:rsidP="000A6BF1">
            <w:pPr>
              <w:spacing w:line="276" w:lineRule="auto"/>
              <w:jc w:val="center"/>
              <w:rPr>
                <w:rFonts w:eastAsia="Arial Unicode MS" w:cstheme="minorHAnsi"/>
                <w:b/>
                <w:bCs/>
                <w:color w:val="000000" w:themeColor="text1"/>
                <w:sz w:val="24"/>
                <w:szCs w:val="24"/>
              </w:rPr>
            </w:pPr>
            <w:r w:rsidRPr="000A6BF1">
              <w:rPr>
                <w:rFonts w:eastAsia="Arial Unicode MS" w:cstheme="minorHAnsi"/>
                <w:b/>
                <w:bCs/>
                <w:color w:val="000000" w:themeColor="text1"/>
                <w:sz w:val="24"/>
                <w:szCs w:val="24"/>
              </w:rPr>
              <w:t>Topics to be covered</w:t>
            </w:r>
          </w:p>
        </w:tc>
      </w:tr>
      <w:tr w:rsidR="0005443D" w:rsidRPr="000A6BF1" w:rsidTr="000A6BF1">
        <w:trPr>
          <w:trHeight w:val="1097"/>
        </w:trPr>
        <w:tc>
          <w:tcPr>
            <w:tcW w:w="739" w:type="pct"/>
          </w:tcPr>
          <w:p w:rsidR="00496B1F" w:rsidRPr="000A6BF1" w:rsidRDefault="00496B1F" w:rsidP="000A6BF1">
            <w:pPr>
              <w:spacing w:line="276" w:lineRule="auto"/>
              <w:jc w:val="center"/>
              <w:rPr>
                <w:rFonts w:cstheme="minorHAnsi"/>
                <w:sz w:val="24"/>
                <w:szCs w:val="24"/>
              </w:rPr>
            </w:pPr>
          </w:p>
          <w:p w:rsidR="0005443D" w:rsidRPr="000A6BF1" w:rsidRDefault="0005443D" w:rsidP="000A6BF1">
            <w:pPr>
              <w:spacing w:line="276" w:lineRule="auto"/>
              <w:jc w:val="center"/>
              <w:rPr>
                <w:rFonts w:cstheme="minorHAnsi"/>
                <w:sz w:val="24"/>
                <w:szCs w:val="24"/>
              </w:rPr>
            </w:pPr>
            <w:r w:rsidRPr="000A6BF1">
              <w:rPr>
                <w:rFonts w:cstheme="minorHAnsi"/>
                <w:sz w:val="24"/>
                <w:szCs w:val="24"/>
              </w:rPr>
              <w:t>Chapter 01</w:t>
            </w:r>
          </w:p>
        </w:tc>
        <w:tc>
          <w:tcPr>
            <w:tcW w:w="1428" w:type="pct"/>
          </w:tcPr>
          <w:p w:rsidR="0005443D" w:rsidRPr="000A6BF1" w:rsidRDefault="0005443D" w:rsidP="000A6BF1">
            <w:pPr>
              <w:spacing w:line="276" w:lineRule="auto"/>
              <w:jc w:val="center"/>
              <w:rPr>
                <w:rFonts w:cstheme="minorHAnsi"/>
                <w:b/>
                <w:sz w:val="24"/>
                <w:szCs w:val="24"/>
              </w:rPr>
            </w:pPr>
          </w:p>
          <w:p w:rsidR="0005443D" w:rsidRPr="000A6BF1" w:rsidRDefault="0005443D" w:rsidP="000A6BF1">
            <w:pPr>
              <w:spacing w:line="276" w:lineRule="auto"/>
              <w:jc w:val="center"/>
              <w:rPr>
                <w:rFonts w:cstheme="minorHAnsi"/>
                <w:b/>
                <w:sz w:val="24"/>
                <w:szCs w:val="24"/>
              </w:rPr>
            </w:pPr>
            <w:r w:rsidRPr="000A6BF1">
              <w:rPr>
                <w:rFonts w:cstheme="minorHAnsi"/>
                <w:b/>
                <w:sz w:val="24"/>
                <w:szCs w:val="24"/>
              </w:rPr>
              <w:t xml:space="preserve">The Role and Environment of Managerial Finance </w:t>
            </w:r>
          </w:p>
        </w:tc>
        <w:tc>
          <w:tcPr>
            <w:tcW w:w="2833" w:type="pct"/>
          </w:tcPr>
          <w:p w:rsidR="0005443D" w:rsidRPr="000A6BF1" w:rsidRDefault="0005443D" w:rsidP="000A6BF1">
            <w:pPr>
              <w:spacing w:line="276" w:lineRule="auto"/>
              <w:jc w:val="both"/>
              <w:rPr>
                <w:rFonts w:cstheme="minorHAnsi"/>
                <w:sz w:val="24"/>
                <w:szCs w:val="24"/>
              </w:rPr>
            </w:pPr>
            <w:r w:rsidRPr="000A6BF1">
              <w:rPr>
                <w:rFonts w:cstheme="minorHAnsi"/>
                <w:sz w:val="24"/>
                <w:szCs w:val="24"/>
              </w:rPr>
              <w:t>Concept, Major Areas and Opportunities in Finance, Legal forms of Organization, The Managerial Finance Function, Activities of the Financial Manager, Goals of a firm, Financial Institutions &amp; Markets, Agency Issues.</w:t>
            </w:r>
          </w:p>
        </w:tc>
      </w:tr>
      <w:tr w:rsidR="00FC4CCA" w:rsidRPr="000A6BF1" w:rsidTr="000A6BF1">
        <w:trPr>
          <w:trHeight w:val="86"/>
        </w:trPr>
        <w:tc>
          <w:tcPr>
            <w:tcW w:w="739" w:type="pct"/>
          </w:tcPr>
          <w:p w:rsidR="00FC4CCA" w:rsidRPr="000A6BF1" w:rsidRDefault="00FC4CCA" w:rsidP="000A6BF1">
            <w:pPr>
              <w:spacing w:line="276" w:lineRule="auto"/>
              <w:rPr>
                <w:rFonts w:cstheme="minorHAnsi"/>
                <w:sz w:val="24"/>
                <w:szCs w:val="24"/>
              </w:rPr>
            </w:pPr>
          </w:p>
          <w:p w:rsidR="00FC4CCA" w:rsidRPr="000A6BF1" w:rsidRDefault="00FC4CCA" w:rsidP="000A6BF1">
            <w:pPr>
              <w:spacing w:line="276" w:lineRule="auto"/>
              <w:rPr>
                <w:sz w:val="24"/>
                <w:szCs w:val="24"/>
              </w:rPr>
            </w:pPr>
            <w:r w:rsidRPr="000A6BF1">
              <w:rPr>
                <w:rFonts w:cstheme="minorHAnsi"/>
                <w:sz w:val="24"/>
                <w:szCs w:val="24"/>
              </w:rPr>
              <w:t>Chapter 02</w:t>
            </w:r>
          </w:p>
        </w:tc>
        <w:tc>
          <w:tcPr>
            <w:tcW w:w="1428" w:type="pct"/>
          </w:tcPr>
          <w:p w:rsidR="00FC4CCA" w:rsidRPr="000A6BF1" w:rsidRDefault="00FC4CCA" w:rsidP="000A6BF1">
            <w:pPr>
              <w:spacing w:line="276" w:lineRule="auto"/>
              <w:jc w:val="center"/>
              <w:rPr>
                <w:rFonts w:cstheme="minorHAnsi"/>
                <w:b/>
                <w:sz w:val="24"/>
                <w:szCs w:val="24"/>
              </w:rPr>
            </w:pPr>
            <w:r w:rsidRPr="000A6BF1">
              <w:rPr>
                <w:rFonts w:cstheme="minorHAnsi"/>
                <w:b/>
                <w:sz w:val="24"/>
                <w:szCs w:val="24"/>
              </w:rPr>
              <w:t>Financial Statement Analysis</w:t>
            </w:r>
          </w:p>
          <w:p w:rsidR="00FC4CCA" w:rsidRPr="000A6BF1" w:rsidRDefault="00FC4CCA" w:rsidP="000A6BF1">
            <w:pPr>
              <w:spacing w:line="276" w:lineRule="auto"/>
              <w:rPr>
                <w:rFonts w:cstheme="minorHAnsi"/>
                <w:b/>
                <w:sz w:val="24"/>
                <w:szCs w:val="24"/>
              </w:rPr>
            </w:pPr>
          </w:p>
        </w:tc>
        <w:tc>
          <w:tcPr>
            <w:tcW w:w="2833" w:type="pct"/>
          </w:tcPr>
          <w:p w:rsidR="00FC4CCA" w:rsidRPr="000A6BF1" w:rsidRDefault="00A73A77" w:rsidP="000A6BF1">
            <w:pPr>
              <w:spacing w:line="276" w:lineRule="auto"/>
              <w:jc w:val="both"/>
              <w:rPr>
                <w:rFonts w:cstheme="minorHAnsi"/>
                <w:sz w:val="24"/>
                <w:szCs w:val="24"/>
              </w:rPr>
            </w:pPr>
            <w:r w:rsidRPr="000A6BF1">
              <w:rPr>
                <w:rFonts w:cstheme="minorHAnsi"/>
                <w:sz w:val="24"/>
                <w:szCs w:val="24"/>
              </w:rPr>
              <w:t xml:space="preserve">Basic concepts, </w:t>
            </w:r>
            <w:r w:rsidR="008672A3" w:rsidRPr="000A6BF1">
              <w:rPr>
                <w:rFonts w:cstheme="minorHAnsi"/>
                <w:sz w:val="24"/>
                <w:szCs w:val="24"/>
              </w:rPr>
              <w:t>Using Financial Ratios: Debt Ratios, Profitability Ratios, Market Ratios, Du Pont System of analysis.</w:t>
            </w:r>
          </w:p>
        </w:tc>
      </w:tr>
      <w:tr w:rsidR="00FC4CCA" w:rsidRPr="000A6BF1" w:rsidTr="000A6BF1">
        <w:trPr>
          <w:trHeight w:val="86"/>
        </w:trPr>
        <w:tc>
          <w:tcPr>
            <w:tcW w:w="739" w:type="pct"/>
          </w:tcPr>
          <w:p w:rsidR="00FC4CCA" w:rsidRPr="000A6BF1" w:rsidRDefault="00FC4CCA" w:rsidP="000A6BF1">
            <w:pPr>
              <w:spacing w:line="276" w:lineRule="auto"/>
              <w:rPr>
                <w:rFonts w:cstheme="minorHAnsi"/>
                <w:sz w:val="24"/>
                <w:szCs w:val="24"/>
              </w:rPr>
            </w:pPr>
          </w:p>
          <w:p w:rsidR="00FC4CCA" w:rsidRPr="000A6BF1" w:rsidRDefault="00FC4CCA" w:rsidP="000A6BF1">
            <w:pPr>
              <w:spacing w:line="276" w:lineRule="auto"/>
              <w:rPr>
                <w:sz w:val="24"/>
                <w:szCs w:val="24"/>
              </w:rPr>
            </w:pPr>
            <w:r w:rsidRPr="000A6BF1">
              <w:rPr>
                <w:rFonts w:cstheme="minorHAnsi"/>
                <w:sz w:val="24"/>
                <w:szCs w:val="24"/>
              </w:rPr>
              <w:t>Chapter 03</w:t>
            </w:r>
          </w:p>
        </w:tc>
        <w:tc>
          <w:tcPr>
            <w:tcW w:w="1428" w:type="pct"/>
          </w:tcPr>
          <w:p w:rsidR="00FC4CCA" w:rsidRPr="000A6BF1" w:rsidRDefault="00FC4CCA" w:rsidP="000A6BF1">
            <w:pPr>
              <w:spacing w:line="276" w:lineRule="auto"/>
              <w:rPr>
                <w:rFonts w:cstheme="minorHAnsi"/>
                <w:b/>
                <w:sz w:val="24"/>
                <w:szCs w:val="24"/>
              </w:rPr>
            </w:pPr>
          </w:p>
          <w:p w:rsidR="00FC4CCA" w:rsidRPr="000A6BF1" w:rsidRDefault="00FC4CCA" w:rsidP="000A6BF1">
            <w:pPr>
              <w:spacing w:line="276" w:lineRule="auto"/>
              <w:jc w:val="center"/>
              <w:rPr>
                <w:rFonts w:cstheme="minorHAnsi"/>
                <w:b/>
                <w:sz w:val="24"/>
                <w:szCs w:val="24"/>
              </w:rPr>
            </w:pPr>
            <w:r w:rsidRPr="000A6BF1">
              <w:rPr>
                <w:rFonts w:cstheme="minorHAnsi"/>
                <w:b/>
                <w:sz w:val="24"/>
                <w:szCs w:val="24"/>
              </w:rPr>
              <w:t>Risk and Return</w:t>
            </w:r>
          </w:p>
          <w:p w:rsidR="00FC4CCA" w:rsidRPr="000A6BF1" w:rsidRDefault="00FC4CCA" w:rsidP="000A6BF1">
            <w:pPr>
              <w:spacing w:line="276" w:lineRule="auto"/>
              <w:rPr>
                <w:rFonts w:cstheme="minorHAnsi"/>
                <w:b/>
                <w:sz w:val="24"/>
                <w:szCs w:val="24"/>
              </w:rPr>
            </w:pPr>
          </w:p>
        </w:tc>
        <w:tc>
          <w:tcPr>
            <w:tcW w:w="2833" w:type="pct"/>
          </w:tcPr>
          <w:p w:rsidR="00FC4CCA" w:rsidRPr="000A6BF1" w:rsidRDefault="001C379E" w:rsidP="000A6BF1">
            <w:pPr>
              <w:spacing w:line="276" w:lineRule="auto"/>
              <w:jc w:val="both"/>
              <w:rPr>
                <w:rFonts w:cstheme="minorHAnsi"/>
                <w:sz w:val="24"/>
                <w:szCs w:val="24"/>
              </w:rPr>
            </w:pPr>
            <w:r w:rsidRPr="000A6BF1">
              <w:rPr>
                <w:rFonts w:cstheme="minorHAnsi"/>
                <w:sz w:val="24"/>
                <w:szCs w:val="24"/>
              </w:rPr>
              <w:t>Concept of risk and return, risk assessment and measurement, portfolio return and standard deviation, correlation, diversification.</w:t>
            </w:r>
          </w:p>
        </w:tc>
      </w:tr>
      <w:tr w:rsidR="00FC4CCA" w:rsidRPr="000A6BF1" w:rsidTr="000A6BF1">
        <w:trPr>
          <w:trHeight w:val="86"/>
        </w:trPr>
        <w:tc>
          <w:tcPr>
            <w:tcW w:w="739" w:type="pct"/>
          </w:tcPr>
          <w:p w:rsidR="00FC4CCA" w:rsidRPr="000A6BF1" w:rsidRDefault="00FC4CCA" w:rsidP="000A6BF1">
            <w:pPr>
              <w:spacing w:line="276" w:lineRule="auto"/>
              <w:rPr>
                <w:rFonts w:cstheme="minorHAnsi"/>
                <w:sz w:val="24"/>
                <w:szCs w:val="24"/>
              </w:rPr>
            </w:pPr>
          </w:p>
          <w:p w:rsidR="00FC4CCA" w:rsidRPr="000A6BF1" w:rsidRDefault="00FC4CCA" w:rsidP="000A6BF1">
            <w:pPr>
              <w:spacing w:line="276" w:lineRule="auto"/>
              <w:rPr>
                <w:sz w:val="24"/>
                <w:szCs w:val="24"/>
              </w:rPr>
            </w:pPr>
            <w:r w:rsidRPr="000A6BF1">
              <w:rPr>
                <w:rFonts w:cstheme="minorHAnsi"/>
                <w:sz w:val="24"/>
                <w:szCs w:val="24"/>
              </w:rPr>
              <w:t>Chapter 04</w:t>
            </w:r>
          </w:p>
        </w:tc>
        <w:tc>
          <w:tcPr>
            <w:tcW w:w="1428" w:type="pct"/>
          </w:tcPr>
          <w:p w:rsidR="00FC4CCA" w:rsidRPr="000A6BF1" w:rsidRDefault="00FC4CCA" w:rsidP="000A6BF1">
            <w:pPr>
              <w:spacing w:line="276" w:lineRule="auto"/>
              <w:rPr>
                <w:rFonts w:cstheme="minorHAnsi"/>
                <w:b/>
                <w:sz w:val="24"/>
                <w:szCs w:val="24"/>
              </w:rPr>
            </w:pPr>
          </w:p>
          <w:p w:rsidR="00FC4CCA" w:rsidRPr="000A6BF1" w:rsidRDefault="00FC4CCA" w:rsidP="000A6BF1">
            <w:pPr>
              <w:spacing w:line="276" w:lineRule="auto"/>
              <w:jc w:val="center"/>
              <w:rPr>
                <w:rFonts w:cstheme="minorHAnsi"/>
                <w:b/>
                <w:sz w:val="24"/>
                <w:szCs w:val="24"/>
              </w:rPr>
            </w:pPr>
            <w:r w:rsidRPr="000A6BF1">
              <w:rPr>
                <w:rFonts w:cstheme="minorHAnsi"/>
                <w:b/>
                <w:sz w:val="24"/>
                <w:szCs w:val="24"/>
              </w:rPr>
              <w:t xml:space="preserve">Capital Budgeting </w:t>
            </w:r>
          </w:p>
          <w:p w:rsidR="00FC4CCA" w:rsidRPr="000A6BF1" w:rsidRDefault="00FC4CCA" w:rsidP="000A6BF1">
            <w:pPr>
              <w:spacing w:line="276" w:lineRule="auto"/>
              <w:jc w:val="center"/>
              <w:rPr>
                <w:rFonts w:cstheme="minorHAnsi"/>
                <w:b/>
                <w:sz w:val="24"/>
                <w:szCs w:val="24"/>
              </w:rPr>
            </w:pPr>
            <w:r w:rsidRPr="000A6BF1">
              <w:rPr>
                <w:rFonts w:cstheme="minorHAnsi"/>
                <w:b/>
                <w:sz w:val="24"/>
                <w:szCs w:val="24"/>
              </w:rPr>
              <w:t>Techniques</w:t>
            </w:r>
          </w:p>
          <w:p w:rsidR="00FC4CCA" w:rsidRPr="000A6BF1" w:rsidRDefault="00FC4CCA" w:rsidP="000A6BF1">
            <w:pPr>
              <w:spacing w:line="276" w:lineRule="auto"/>
              <w:rPr>
                <w:rFonts w:cstheme="minorHAnsi"/>
                <w:b/>
                <w:sz w:val="24"/>
                <w:szCs w:val="24"/>
              </w:rPr>
            </w:pPr>
          </w:p>
        </w:tc>
        <w:tc>
          <w:tcPr>
            <w:tcW w:w="2833" w:type="pct"/>
          </w:tcPr>
          <w:p w:rsidR="00FC4CCA" w:rsidRPr="000A6BF1" w:rsidRDefault="00FC4CCA" w:rsidP="000A6BF1">
            <w:pPr>
              <w:spacing w:line="276" w:lineRule="auto"/>
              <w:jc w:val="both"/>
              <w:rPr>
                <w:rFonts w:cstheme="minorHAnsi"/>
                <w:sz w:val="24"/>
                <w:szCs w:val="24"/>
              </w:rPr>
            </w:pPr>
            <w:r w:rsidRPr="000A6BF1">
              <w:rPr>
                <w:rFonts w:cstheme="minorHAnsi"/>
                <w:sz w:val="24"/>
                <w:szCs w:val="24"/>
              </w:rPr>
              <w:t>Concepts, Steps, Capital Budgeting Techniques: Payback period, Average Rate of Return, Net Present Value, Internal Rate of Return, Modified &amp; Multiple IRR, Profitability Index.</w:t>
            </w:r>
          </w:p>
        </w:tc>
      </w:tr>
      <w:tr w:rsidR="00FC4CCA" w:rsidRPr="000A6BF1" w:rsidTr="000A6BF1">
        <w:trPr>
          <w:trHeight w:val="187"/>
        </w:trPr>
        <w:tc>
          <w:tcPr>
            <w:tcW w:w="739" w:type="pct"/>
          </w:tcPr>
          <w:p w:rsidR="00FC4CCA" w:rsidRPr="000A6BF1" w:rsidRDefault="00FC4CCA" w:rsidP="000A6BF1">
            <w:pPr>
              <w:spacing w:line="276" w:lineRule="auto"/>
              <w:rPr>
                <w:rFonts w:cstheme="minorHAnsi"/>
                <w:sz w:val="24"/>
                <w:szCs w:val="24"/>
              </w:rPr>
            </w:pPr>
          </w:p>
          <w:p w:rsidR="00FC4CCA" w:rsidRPr="000A6BF1" w:rsidRDefault="00FC4CCA" w:rsidP="000A6BF1">
            <w:pPr>
              <w:spacing w:line="276" w:lineRule="auto"/>
              <w:rPr>
                <w:sz w:val="24"/>
                <w:szCs w:val="24"/>
              </w:rPr>
            </w:pPr>
            <w:r w:rsidRPr="000A6BF1">
              <w:rPr>
                <w:rFonts w:cstheme="minorHAnsi"/>
                <w:sz w:val="24"/>
                <w:szCs w:val="24"/>
              </w:rPr>
              <w:t>Chapter 05</w:t>
            </w:r>
          </w:p>
        </w:tc>
        <w:tc>
          <w:tcPr>
            <w:tcW w:w="1428" w:type="pct"/>
          </w:tcPr>
          <w:p w:rsidR="00FC4CCA" w:rsidRPr="000A6BF1" w:rsidRDefault="00FC4CCA" w:rsidP="000A6BF1">
            <w:pPr>
              <w:spacing w:line="276" w:lineRule="auto"/>
              <w:jc w:val="center"/>
              <w:rPr>
                <w:rFonts w:cstheme="minorHAnsi"/>
                <w:b/>
                <w:sz w:val="24"/>
                <w:szCs w:val="24"/>
              </w:rPr>
            </w:pPr>
          </w:p>
          <w:p w:rsidR="00FC4CCA" w:rsidRPr="000A6BF1" w:rsidRDefault="00FC4CCA" w:rsidP="000A6BF1">
            <w:pPr>
              <w:spacing w:line="276" w:lineRule="auto"/>
              <w:jc w:val="center"/>
              <w:rPr>
                <w:rFonts w:cstheme="minorHAnsi"/>
                <w:b/>
                <w:sz w:val="24"/>
                <w:szCs w:val="24"/>
              </w:rPr>
            </w:pPr>
          </w:p>
          <w:p w:rsidR="00FC4CCA" w:rsidRPr="000A6BF1" w:rsidRDefault="00FC4CCA" w:rsidP="000A6BF1">
            <w:pPr>
              <w:spacing w:line="276" w:lineRule="auto"/>
              <w:jc w:val="center"/>
              <w:rPr>
                <w:rFonts w:cstheme="minorHAnsi"/>
                <w:b/>
                <w:sz w:val="24"/>
                <w:szCs w:val="24"/>
              </w:rPr>
            </w:pPr>
            <w:r w:rsidRPr="000A6BF1">
              <w:rPr>
                <w:rFonts w:cstheme="minorHAnsi"/>
                <w:b/>
                <w:sz w:val="24"/>
                <w:szCs w:val="24"/>
              </w:rPr>
              <w:t>Cost of Capital</w:t>
            </w:r>
          </w:p>
          <w:p w:rsidR="00FC4CCA" w:rsidRPr="000A6BF1" w:rsidRDefault="00FC4CCA" w:rsidP="000A6BF1">
            <w:pPr>
              <w:spacing w:line="276" w:lineRule="auto"/>
              <w:rPr>
                <w:rFonts w:cstheme="minorHAnsi"/>
                <w:b/>
                <w:sz w:val="24"/>
                <w:szCs w:val="24"/>
              </w:rPr>
            </w:pPr>
          </w:p>
        </w:tc>
        <w:tc>
          <w:tcPr>
            <w:tcW w:w="2833" w:type="pct"/>
          </w:tcPr>
          <w:p w:rsidR="00FC4CCA" w:rsidRPr="000A6BF1" w:rsidRDefault="00FC4CCA" w:rsidP="000A6BF1">
            <w:pPr>
              <w:spacing w:line="276" w:lineRule="auto"/>
              <w:jc w:val="both"/>
              <w:rPr>
                <w:rFonts w:eastAsia="Arial Unicode MS" w:cstheme="minorHAnsi"/>
                <w:bCs/>
                <w:color w:val="000000"/>
                <w:sz w:val="24"/>
                <w:szCs w:val="24"/>
              </w:rPr>
            </w:pPr>
            <w:r w:rsidRPr="000A6BF1">
              <w:rPr>
                <w:rFonts w:cstheme="minorHAnsi"/>
                <w:sz w:val="24"/>
                <w:szCs w:val="24"/>
              </w:rPr>
              <w:t>Concept, Importance, Sources of capital: Cost of Equity Capital, Cost of Debt Capital, Cost of Preferred Stock Capital, Cost of Retained Earnings, WACC, Factors affecting WACC, Marginal COC.</w:t>
            </w:r>
          </w:p>
        </w:tc>
      </w:tr>
      <w:tr w:rsidR="00FC4CCA" w:rsidRPr="000A6BF1" w:rsidTr="000A6BF1">
        <w:trPr>
          <w:trHeight w:val="60"/>
        </w:trPr>
        <w:tc>
          <w:tcPr>
            <w:tcW w:w="739" w:type="pct"/>
          </w:tcPr>
          <w:p w:rsidR="00FC4CCA" w:rsidRPr="000A6BF1" w:rsidRDefault="00FC4CCA" w:rsidP="000A6BF1">
            <w:pPr>
              <w:spacing w:line="276" w:lineRule="auto"/>
              <w:rPr>
                <w:rFonts w:cstheme="minorHAnsi"/>
                <w:sz w:val="24"/>
                <w:szCs w:val="24"/>
              </w:rPr>
            </w:pPr>
          </w:p>
          <w:p w:rsidR="00FC4CCA" w:rsidRPr="000A6BF1" w:rsidRDefault="00FC4CCA" w:rsidP="000A6BF1">
            <w:pPr>
              <w:spacing w:line="276" w:lineRule="auto"/>
              <w:rPr>
                <w:sz w:val="24"/>
                <w:szCs w:val="24"/>
              </w:rPr>
            </w:pPr>
            <w:r w:rsidRPr="000A6BF1">
              <w:rPr>
                <w:rFonts w:cstheme="minorHAnsi"/>
                <w:sz w:val="24"/>
                <w:szCs w:val="24"/>
              </w:rPr>
              <w:t>Chapter 06</w:t>
            </w:r>
          </w:p>
        </w:tc>
        <w:tc>
          <w:tcPr>
            <w:tcW w:w="1428" w:type="pct"/>
          </w:tcPr>
          <w:p w:rsidR="00FC4CCA" w:rsidRPr="000A6BF1" w:rsidRDefault="00FC4CCA" w:rsidP="000A6BF1">
            <w:pPr>
              <w:spacing w:line="276" w:lineRule="auto"/>
              <w:jc w:val="center"/>
              <w:rPr>
                <w:rFonts w:cstheme="minorHAnsi"/>
                <w:b/>
                <w:sz w:val="24"/>
                <w:szCs w:val="24"/>
              </w:rPr>
            </w:pPr>
          </w:p>
          <w:p w:rsidR="00FC4CCA" w:rsidRPr="000A6BF1" w:rsidRDefault="00FC4CCA" w:rsidP="000A6BF1">
            <w:pPr>
              <w:spacing w:line="276" w:lineRule="auto"/>
              <w:jc w:val="center"/>
              <w:rPr>
                <w:rFonts w:cstheme="minorHAnsi"/>
                <w:b/>
                <w:sz w:val="24"/>
                <w:szCs w:val="24"/>
              </w:rPr>
            </w:pPr>
            <w:r w:rsidRPr="000A6BF1">
              <w:rPr>
                <w:rFonts w:cstheme="minorHAnsi"/>
                <w:b/>
                <w:sz w:val="24"/>
                <w:szCs w:val="24"/>
              </w:rPr>
              <w:t>Leverage</w:t>
            </w:r>
          </w:p>
        </w:tc>
        <w:tc>
          <w:tcPr>
            <w:tcW w:w="2833" w:type="pct"/>
          </w:tcPr>
          <w:p w:rsidR="00FC4CCA" w:rsidRPr="000A6BF1" w:rsidRDefault="00FC4CCA" w:rsidP="000A6BF1">
            <w:pPr>
              <w:spacing w:line="276" w:lineRule="auto"/>
              <w:jc w:val="both"/>
              <w:rPr>
                <w:rFonts w:eastAsia="Arial Unicode MS" w:cstheme="minorHAnsi"/>
                <w:bCs/>
                <w:color w:val="000000"/>
                <w:sz w:val="24"/>
                <w:szCs w:val="24"/>
              </w:rPr>
            </w:pPr>
            <w:r w:rsidRPr="000A6BF1">
              <w:rPr>
                <w:rFonts w:cstheme="minorHAnsi"/>
                <w:sz w:val="24"/>
                <w:szCs w:val="24"/>
              </w:rPr>
              <w:t>Concept, operating leverage, financial leverage, total leverage, Breakeven analysis.</w:t>
            </w:r>
          </w:p>
        </w:tc>
      </w:tr>
      <w:tr w:rsidR="00FC4CCA" w:rsidRPr="000A6BF1" w:rsidTr="000A6BF1">
        <w:trPr>
          <w:trHeight w:val="60"/>
        </w:trPr>
        <w:tc>
          <w:tcPr>
            <w:tcW w:w="5000" w:type="pct"/>
            <w:gridSpan w:val="3"/>
          </w:tcPr>
          <w:p w:rsidR="00FC4CCA" w:rsidRPr="000A6BF1" w:rsidRDefault="00FC4CCA" w:rsidP="000A6BF1">
            <w:pPr>
              <w:spacing w:line="276" w:lineRule="auto"/>
              <w:jc w:val="center"/>
              <w:rPr>
                <w:rFonts w:eastAsia="Arial Unicode MS" w:cstheme="minorHAnsi"/>
                <w:b/>
                <w:bCs/>
                <w:color w:val="000000"/>
                <w:sz w:val="24"/>
                <w:szCs w:val="24"/>
              </w:rPr>
            </w:pPr>
            <w:r w:rsidRPr="000A6BF1">
              <w:rPr>
                <w:rFonts w:eastAsia="Arial Unicode MS" w:cstheme="minorHAnsi"/>
                <w:b/>
                <w:bCs/>
                <w:color w:val="000000"/>
                <w:sz w:val="24"/>
                <w:szCs w:val="24"/>
              </w:rPr>
              <w:t>Mid-Term Examination</w:t>
            </w:r>
          </w:p>
        </w:tc>
      </w:tr>
      <w:tr w:rsidR="00FC4CCA" w:rsidRPr="000A6BF1" w:rsidTr="000A6BF1">
        <w:trPr>
          <w:trHeight w:val="60"/>
        </w:trPr>
        <w:tc>
          <w:tcPr>
            <w:tcW w:w="739" w:type="pct"/>
          </w:tcPr>
          <w:p w:rsidR="00FC4CCA" w:rsidRPr="000A6BF1" w:rsidRDefault="00FC4CCA" w:rsidP="000A6BF1">
            <w:pPr>
              <w:spacing w:line="276" w:lineRule="auto"/>
              <w:rPr>
                <w:rFonts w:cstheme="minorHAnsi"/>
                <w:sz w:val="24"/>
                <w:szCs w:val="24"/>
              </w:rPr>
            </w:pPr>
          </w:p>
          <w:p w:rsidR="00FC4CCA" w:rsidRPr="000A6BF1" w:rsidRDefault="00FC4CCA" w:rsidP="000A6BF1">
            <w:pPr>
              <w:spacing w:line="276" w:lineRule="auto"/>
              <w:rPr>
                <w:rFonts w:cstheme="minorHAnsi"/>
                <w:sz w:val="24"/>
                <w:szCs w:val="24"/>
              </w:rPr>
            </w:pPr>
            <w:r w:rsidRPr="000A6BF1">
              <w:rPr>
                <w:rFonts w:cstheme="minorHAnsi"/>
                <w:sz w:val="24"/>
                <w:szCs w:val="24"/>
              </w:rPr>
              <w:t>Chapter 07</w:t>
            </w:r>
          </w:p>
        </w:tc>
        <w:tc>
          <w:tcPr>
            <w:tcW w:w="1428" w:type="pct"/>
            <w:vAlign w:val="center"/>
          </w:tcPr>
          <w:p w:rsidR="00FC4CCA" w:rsidRPr="000A6BF1" w:rsidRDefault="00FC4CCA" w:rsidP="000A6BF1">
            <w:pPr>
              <w:spacing w:line="276" w:lineRule="auto"/>
              <w:jc w:val="center"/>
              <w:rPr>
                <w:rFonts w:cstheme="minorHAnsi"/>
                <w:b/>
                <w:sz w:val="24"/>
                <w:szCs w:val="24"/>
              </w:rPr>
            </w:pPr>
            <w:r w:rsidRPr="000A6BF1">
              <w:rPr>
                <w:rFonts w:cstheme="minorHAnsi"/>
                <w:b/>
                <w:sz w:val="24"/>
                <w:szCs w:val="24"/>
              </w:rPr>
              <w:t>Capital structure</w:t>
            </w:r>
          </w:p>
          <w:p w:rsidR="00FC4CCA" w:rsidRPr="000A6BF1" w:rsidRDefault="00FC4CCA" w:rsidP="000A6BF1">
            <w:pPr>
              <w:spacing w:line="276" w:lineRule="auto"/>
              <w:jc w:val="center"/>
              <w:rPr>
                <w:rFonts w:cstheme="minorHAnsi"/>
                <w:b/>
                <w:sz w:val="24"/>
                <w:szCs w:val="24"/>
              </w:rPr>
            </w:pPr>
          </w:p>
        </w:tc>
        <w:tc>
          <w:tcPr>
            <w:tcW w:w="2833" w:type="pct"/>
          </w:tcPr>
          <w:p w:rsidR="00FC4CCA" w:rsidRPr="000A6BF1" w:rsidRDefault="00FC4CCA" w:rsidP="000A6BF1">
            <w:pPr>
              <w:spacing w:line="276" w:lineRule="auto"/>
              <w:jc w:val="both"/>
              <w:rPr>
                <w:rFonts w:cstheme="minorHAnsi"/>
                <w:sz w:val="24"/>
                <w:szCs w:val="24"/>
              </w:rPr>
            </w:pPr>
            <w:r w:rsidRPr="000A6BF1">
              <w:rPr>
                <w:rFonts w:cstheme="minorHAnsi"/>
                <w:sz w:val="24"/>
                <w:szCs w:val="24"/>
              </w:rPr>
              <w:t xml:space="preserve">Concept, types of capital, Business &amp; Financial Risk, capital structure theory, factors that influence capital structure, optimum capital structure, The EBIT-EPS Approach to Capital Structure, Choosing the optimal capital structure problem solution. </w:t>
            </w:r>
          </w:p>
        </w:tc>
      </w:tr>
      <w:tr w:rsidR="00FC4CCA" w:rsidRPr="000A6BF1" w:rsidTr="000A6BF1">
        <w:trPr>
          <w:trHeight w:val="60"/>
        </w:trPr>
        <w:tc>
          <w:tcPr>
            <w:tcW w:w="739" w:type="pct"/>
          </w:tcPr>
          <w:p w:rsidR="00FC4CCA" w:rsidRPr="000A6BF1" w:rsidRDefault="00FC4CCA" w:rsidP="000A6BF1">
            <w:pPr>
              <w:spacing w:line="276" w:lineRule="auto"/>
              <w:rPr>
                <w:rFonts w:cstheme="minorHAnsi"/>
                <w:sz w:val="24"/>
                <w:szCs w:val="24"/>
              </w:rPr>
            </w:pPr>
          </w:p>
          <w:p w:rsidR="00FC4CCA" w:rsidRPr="000A6BF1" w:rsidRDefault="00FC4CCA" w:rsidP="000A6BF1">
            <w:pPr>
              <w:spacing w:line="276" w:lineRule="auto"/>
              <w:rPr>
                <w:sz w:val="24"/>
                <w:szCs w:val="24"/>
              </w:rPr>
            </w:pPr>
            <w:r w:rsidRPr="000A6BF1">
              <w:rPr>
                <w:rFonts w:cstheme="minorHAnsi"/>
                <w:sz w:val="24"/>
                <w:szCs w:val="24"/>
              </w:rPr>
              <w:t>Chapter 08</w:t>
            </w:r>
          </w:p>
        </w:tc>
        <w:tc>
          <w:tcPr>
            <w:tcW w:w="1428" w:type="pct"/>
          </w:tcPr>
          <w:p w:rsidR="00FC4CCA" w:rsidRPr="000A6BF1" w:rsidRDefault="00FC4CCA" w:rsidP="000A6BF1">
            <w:pPr>
              <w:spacing w:line="276" w:lineRule="auto"/>
              <w:jc w:val="center"/>
              <w:rPr>
                <w:rFonts w:cstheme="minorHAnsi"/>
                <w:b/>
                <w:sz w:val="24"/>
                <w:szCs w:val="24"/>
              </w:rPr>
            </w:pPr>
          </w:p>
          <w:p w:rsidR="00FC4CCA" w:rsidRPr="000A6BF1" w:rsidRDefault="00FC4CCA" w:rsidP="000A6BF1">
            <w:pPr>
              <w:spacing w:line="276" w:lineRule="auto"/>
              <w:jc w:val="center"/>
              <w:rPr>
                <w:rFonts w:cstheme="minorHAnsi"/>
                <w:b/>
                <w:sz w:val="24"/>
                <w:szCs w:val="24"/>
              </w:rPr>
            </w:pPr>
            <w:r w:rsidRPr="000A6BF1">
              <w:rPr>
                <w:rFonts w:cstheme="minorHAnsi"/>
                <w:b/>
                <w:sz w:val="24"/>
                <w:szCs w:val="24"/>
              </w:rPr>
              <w:t>Dividend policy</w:t>
            </w:r>
          </w:p>
          <w:p w:rsidR="00FC4CCA" w:rsidRPr="000A6BF1" w:rsidRDefault="00FC4CCA" w:rsidP="000A6BF1">
            <w:pPr>
              <w:spacing w:line="276" w:lineRule="auto"/>
              <w:jc w:val="center"/>
              <w:rPr>
                <w:rFonts w:cstheme="minorHAnsi"/>
                <w:b/>
                <w:sz w:val="24"/>
                <w:szCs w:val="24"/>
              </w:rPr>
            </w:pPr>
          </w:p>
        </w:tc>
        <w:tc>
          <w:tcPr>
            <w:tcW w:w="2833" w:type="pct"/>
          </w:tcPr>
          <w:p w:rsidR="00FC4CCA" w:rsidRPr="000A6BF1" w:rsidRDefault="00FC4CCA" w:rsidP="000A6BF1">
            <w:pPr>
              <w:spacing w:line="276" w:lineRule="auto"/>
              <w:jc w:val="both"/>
              <w:rPr>
                <w:rFonts w:cstheme="minorHAnsi"/>
                <w:sz w:val="24"/>
                <w:szCs w:val="24"/>
              </w:rPr>
            </w:pPr>
            <w:r w:rsidRPr="000A6BF1">
              <w:rPr>
                <w:rFonts w:cstheme="minorHAnsi"/>
                <w:sz w:val="24"/>
                <w:szCs w:val="24"/>
              </w:rPr>
              <w:t>Concepts, Dividend vs. Capital Gain, dividend payment methods, terminologies (declaration, record date, ex-dividend, stock dividend, stock split, stock repurchase, Dividend policy Theory.</w:t>
            </w:r>
          </w:p>
        </w:tc>
      </w:tr>
      <w:tr w:rsidR="00FC4CCA" w:rsidRPr="000A6BF1" w:rsidTr="000A6BF1">
        <w:trPr>
          <w:trHeight w:val="60"/>
        </w:trPr>
        <w:tc>
          <w:tcPr>
            <w:tcW w:w="739" w:type="pct"/>
          </w:tcPr>
          <w:p w:rsidR="00FC4CCA" w:rsidRPr="000A6BF1" w:rsidRDefault="00FC4CCA" w:rsidP="000A6BF1">
            <w:pPr>
              <w:spacing w:line="276" w:lineRule="auto"/>
              <w:rPr>
                <w:rFonts w:cstheme="minorHAnsi"/>
                <w:sz w:val="24"/>
                <w:szCs w:val="24"/>
              </w:rPr>
            </w:pPr>
          </w:p>
          <w:p w:rsidR="00FC4CCA" w:rsidRPr="000A6BF1" w:rsidRDefault="00FC4CCA" w:rsidP="000A6BF1">
            <w:pPr>
              <w:spacing w:line="276" w:lineRule="auto"/>
              <w:rPr>
                <w:sz w:val="24"/>
                <w:szCs w:val="24"/>
              </w:rPr>
            </w:pPr>
            <w:r w:rsidRPr="000A6BF1">
              <w:rPr>
                <w:rFonts w:cstheme="minorHAnsi"/>
                <w:sz w:val="24"/>
                <w:szCs w:val="24"/>
              </w:rPr>
              <w:t>Chapter 09</w:t>
            </w:r>
          </w:p>
        </w:tc>
        <w:tc>
          <w:tcPr>
            <w:tcW w:w="1428" w:type="pct"/>
          </w:tcPr>
          <w:p w:rsidR="00FC4CCA" w:rsidRPr="000A6BF1" w:rsidRDefault="00FC4CCA" w:rsidP="000A6BF1">
            <w:pPr>
              <w:spacing w:line="276" w:lineRule="auto"/>
              <w:jc w:val="center"/>
              <w:rPr>
                <w:rFonts w:cstheme="minorHAnsi"/>
                <w:b/>
                <w:sz w:val="24"/>
                <w:szCs w:val="24"/>
              </w:rPr>
            </w:pPr>
          </w:p>
          <w:p w:rsidR="00FC4CCA" w:rsidRPr="000A6BF1" w:rsidRDefault="00FC4CCA" w:rsidP="000A6BF1">
            <w:pPr>
              <w:spacing w:line="276" w:lineRule="auto"/>
              <w:jc w:val="center"/>
              <w:rPr>
                <w:rFonts w:cstheme="minorHAnsi"/>
                <w:b/>
                <w:sz w:val="24"/>
                <w:szCs w:val="24"/>
              </w:rPr>
            </w:pPr>
            <w:r w:rsidRPr="000A6BF1">
              <w:rPr>
                <w:rFonts w:cstheme="minorHAnsi"/>
                <w:b/>
                <w:sz w:val="24"/>
                <w:szCs w:val="24"/>
              </w:rPr>
              <w:t>Working Capital</w:t>
            </w:r>
          </w:p>
          <w:p w:rsidR="00FC4CCA" w:rsidRPr="000A6BF1" w:rsidRDefault="00FC4CCA" w:rsidP="000A6BF1">
            <w:pPr>
              <w:spacing w:line="276" w:lineRule="auto"/>
              <w:jc w:val="center"/>
              <w:rPr>
                <w:rFonts w:cstheme="minorHAnsi"/>
                <w:b/>
                <w:sz w:val="24"/>
                <w:szCs w:val="24"/>
              </w:rPr>
            </w:pPr>
          </w:p>
        </w:tc>
        <w:tc>
          <w:tcPr>
            <w:tcW w:w="2833" w:type="pct"/>
          </w:tcPr>
          <w:p w:rsidR="00FC4CCA" w:rsidRPr="000A6BF1" w:rsidRDefault="00FC4CCA" w:rsidP="000A6BF1">
            <w:pPr>
              <w:spacing w:line="276" w:lineRule="auto"/>
              <w:jc w:val="both"/>
              <w:rPr>
                <w:rFonts w:cstheme="minorHAnsi"/>
                <w:sz w:val="24"/>
                <w:szCs w:val="24"/>
              </w:rPr>
            </w:pPr>
            <w:r w:rsidRPr="000A6BF1">
              <w:rPr>
                <w:rFonts w:cstheme="minorHAnsi"/>
                <w:sz w:val="24"/>
                <w:szCs w:val="24"/>
              </w:rPr>
              <w:t xml:space="preserve">Working Capital &amp; its Management, Classification, Determinants of Working Capital, Working Capital Cycle, Cash Conversion Cycle. </w:t>
            </w:r>
          </w:p>
        </w:tc>
      </w:tr>
      <w:tr w:rsidR="00AC7C0A" w:rsidRPr="000A6BF1" w:rsidTr="000A6BF1">
        <w:trPr>
          <w:trHeight w:val="60"/>
        </w:trPr>
        <w:tc>
          <w:tcPr>
            <w:tcW w:w="739" w:type="pct"/>
          </w:tcPr>
          <w:p w:rsidR="00AC7C0A" w:rsidRPr="000A6BF1" w:rsidRDefault="00AC7C0A" w:rsidP="000A6BF1">
            <w:pPr>
              <w:spacing w:line="276" w:lineRule="auto"/>
              <w:rPr>
                <w:rFonts w:cstheme="minorHAnsi"/>
                <w:sz w:val="24"/>
                <w:szCs w:val="24"/>
              </w:rPr>
            </w:pPr>
          </w:p>
          <w:p w:rsidR="00AC7C0A" w:rsidRPr="000A6BF1" w:rsidRDefault="00AC7C0A" w:rsidP="000A6BF1">
            <w:pPr>
              <w:spacing w:line="276" w:lineRule="auto"/>
              <w:rPr>
                <w:sz w:val="24"/>
                <w:szCs w:val="24"/>
              </w:rPr>
            </w:pPr>
            <w:r w:rsidRPr="000A6BF1">
              <w:rPr>
                <w:rFonts w:cstheme="minorHAnsi"/>
                <w:sz w:val="24"/>
                <w:szCs w:val="24"/>
              </w:rPr>
              <w:t>Chapter 10</w:t>
            </w:r>
          </w:p>
        </w:tc>
        <w:tc>
          <w:tcPr>
            <w:tcW w:w="1428" w:type="pct"/>
          </w:tcPr>
          <w:p w:rsidR="00AC7C0A" w:rsidRPr="000A6BF1" w:rsidRDefault="00AC7C0A" w:rsidP="000A6BF1">
            <w:pPr>
              <w:spacing w:line="276" w:lineRule="auto"/>
              <w:rPr>
                <w:rFonts w:cstheme="minorHAnsi"/>
                <w:b/>
                <w:sz w:val="24"/>
                <w:szCs w:val="24"/>
              </w:rPr>
            </w:pPr>
          </w:p>
          <w:p w:rsidR="00AC7C0A" w:rsidRPr="000A6BF1" w:rsidRDefault="00AC7C0A" w:rsidP="000A6BF1">
            <w:pPr>
              <w:spacing w:line="276" w:lineRule="auto"/>
              <w:jc w:val="center"/>
              <w:rPr>
                <w:rFonts w:cstheme="minorHAnsi"/>
                <w:b/>
                <w:sz w:val="24"/>
                <w:szCs w:val="24"/>
              </w:rPr>
            </w:pPr>
            <w:r w:rsidRPr="000A6BF1">
              <w:rPr>
                <w:rFonts w:cstheme="minorHAnsi"/>
                <w:b/>
                <w:sz w:val="24"/>
                <w:szCs w:val="24"/>
              </w:rPr>
              <w:t>Lease Financing</w:t>
            </w:r>
          </w:p>
          <w:p w:rsidR="00AC7C0A" w:rsidRPr="000A6BF1" w:rsidRDefault="00AC7C0A" w:rsidP="000A6BF1">
            <w:pPr>
              <w:spacing w:line="276" w:lineRule="auto"/>
              <w:rPr>
                <w:rFonts w:cstheme="minorHAnsi"/>
                <w:b/>
                <w:sz w:val="24"/>
                <w:szCs w:val="24"/>
              </w:rPr>
            </w:pPr>
          </w:p>
        </w:tc>
        <w:tc>
          <w:tcPr>
            <w:tcW w:w="2833" w:type="pct"/>
          </w:tcPr>
          <w:p w:rsidR="00AC7C0A" w:rsidRPr="000A6BF1" w:rsidRDefault="00CF335C" w:rsidP="000A6BF1">
            <w:pPr>
              <w:spacing w:line="276" w:lineRule="auto"/>
              <w:jc w:val="both"/>
              <w:rPr>
                <w:rFonts w:cstheme="minorHAnsi"/>
                <w:sz w:val="24"/>
                <w:szCs w:val="24"/>
              </w:rPr>
            </w:pPr>
            <w:r w:rsidRPr="000A6BF1">
              <w:rPr>
                <w:rFonts w:cstheme="minorHAnsi"/>
                <w:sz w:val="24"/>
                <w:szCs w:val="24"/>
              </w:rPr>
              <w:t>Definition and Provisions of Lease Financing, Types of Leasing, Methods of Leasing, Purchase And Lease Decision, Problem Solution.</w:t>
            </w:r>
          </w:p>
        </w:tc>
      </w:tr>
      <w:tr w:rsidR="00AC7C0A" w:rsidRPr="000A6BF1" w:rsidTr="000A6BF1">
        <w:trPr>
          <w:trHeight w:val="484"/>
        </w:trPr>
        <w:tc>
          <w:tcPr>
            <w:tcW w:w="5000" w:type="pct"/>
            <w:gridSpan w:val="3"/>
          </w:tcPr>
          <w:p w:rsidR="00AC7C0A" w:rsidRPr="000A6BF1" w:rsidRDefault="00AC7C0A" w:rsidP="000A6BF1">
            <w:pPr>
              <w:spacing w:line="276" w:lineRule="auto"/>
              <w:jc w:val="center"/>
              <w:rPr>
                <w:rFonts w:eastAsia="Arial Unicode MS" w:cstheme="minorHAnsi"/>
                <w:b/>
                <w:bCs/>
                <w:noProof/>
                <w:color w:val="000000"/>
                <w:sz w:val="24"/>
                <w:szCs w:val="24"/>
              </w:rPr>
            </w:pPr>
            <w:r w:rsidRPr="000A6BF1">
              <w:rPr>
                <w:rFonts w:eastAsia="Arial Unicode MS" w:cstheme="minorHAnsi"/>
                <w:b/>
                <w:bCs/>
                <w:color w:val="000000"/>
                <w:sz w:val="24"/>
                <w:szCs w:val="24"/>
              </w:rPr>
              <w:t>Final Examination</w:t>
            </w:r>
          </w:p>
        </w:tc>
      </w:tr>
    </w:tbl>
    <w:p w:rsidR="000A6BF1" w:rsidRPr="000A6BF1" w:rsidRDefault="000A6BF1" w:rsidP="000A6BF1">
      <w:pPr>
        <w:spacing w:after="0"/>
        <w:rPr>
          <w:rFonts w:ascii="Calibri" w:hAnsi="Calibri" w:cs="Calibri"/>
          <w:b/>
          <w:sz w:val="24"/>
          <w:szCs w:val="24"/>
        </w:rPr>
      </w:pPr>
    </w:p>
    <w:sectPr w:rsidR="000A6BF1" w:rsidRPr="000A6BF1" w:rsidSect="000A6BF1">
      <w:headerReference w:type="default" r:id="rId9"/>
      <w:pgSz w:w="11907" w:h="16839" w:code="9"/>
      <w:pgMar w:top="864"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ED7" w:rsidRDefault="00844ED7" w:rsidP="00EB0F3E">
      <w:pPr>
        <w:spacing w:after="0" w:line="240" w:lineRule="auto"/>
      </w:pPr>
      <w:r>
        <w:separator/>
      </w:r>
    </w:p>
  </w:endnote>
  <w:endnote w:type="continuationSeparator" w:id="1">
    <w:p w:rsidR="00844ED7" w:rsidRDefault="00844ED7" w:rsidP="00EB0F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ED7" w:rsidRDefault="00844ED7" w:rsidP="00EB0F3E">
      <w:pPr>
        <w:spacing w:after="0" w:line="240" w:lineRule="auto"/>
      </w:pPr>
      <w:r>
        <w:separator/>
      </w:r>
    </w:p>
  </w:footnote>
  <w:footnote w:type="continuationSeparator" w:id="1">
    <w:p w:rsidR="00844ED7" w:rsidRDefault="00844ED7" w:rsidP="00EB0F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A81" w:rsidRDefault="00232A81">
    <w:pPr>
      <w:pStyle w:val="Header"/>
    </w:pPr>
  </w:p>
  <w:p w:rsidR="00232A81" w:rsidRDefault="00232A81">
    <w:pPr>
      <w:pStyle w:val="Header"/>
    </w:pPr>
  </w:p>
  <w:p w:rsidR="00232A81" w:rsidRDefault="00232A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62BFB"/>
    <w:multiLevelType w:val="hybridMultilevel"/>
    <w:tmpl w:val="40FE9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81018"/>
    <w:multiLevelType w:val="hybridMultilevel"/>
    <w:tmpl w:val="2BE8C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B0512"/>
    <w:multiLevelType w:val="hybridMultilevel"/>
    <w:tmpl w:val="1BE45892"/>
    <w:lvl w:ilvl="0" w:tplc="47D4195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107956"/>
    <w:multiLevelType w:val="hybridMultilevel"/>
    <w:tmpl w:val="37AC3C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552E59"/>
    <w:multiLevelType w:val="hybridMultilevel"/>
    <w:tmpl w:val="97761FCA"/>
    <w:lvl w:ilvl="0" w:tplc="048E1E1C">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2B422B9C"/>
    <w:multiLevelType w:val="hybridMultilevel"/>
    <w:tmpl w:val="981AA462"/>
    <w:lvl w:ilvl="0" w:tplc="A664D3F4">
      <w:start w:val="1"/>
      <w:numFmt w:val="lowerRoman"/>
      <w:lvlText w:val="%1)"/>
      <w:lvlJc w:val="left"/>
      <w:pPr>
        <w:tabs>
          <w:tab w:val="num" w:pos="720"/>
        </w:tabs>
        <w:ind w:left="720" w:hanging="72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80D86A94">
      <w:numFmt w:val="bullet"/>
      <w:lvlText w:val="-"/>
      <w:lvlJc w:val="left"/>
      <w:pPr>
        <w:tabs>
          <w:tab w:val="num" w:pos="2520"/>
        </w:tabs>
        <w:ind w:left="2520" w:hanging="360"/>
      </w:pPr>
      <w:rPr>
        <w:rFonts w:ascii="Arial Narrow" w:eastAsia="Times New Roman" w:hAnsi="Arial Narrow"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A382736"/>
    <w:multiLevelType w:val="hybridMultilevel"/>
    <w:tmpl w:val="D924E3E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42C70D17"/>
    <w:multiLevelType w:val="hybridMultilevel"/>
    <w:tmpl w:val="B89E0784"/>
    <w:lvl w:ilvl="0" w:tplc="0409000F">
      <w:start w:val="1"/>
      <w:numFmt w:val="decimal"/>
      <w:lvlText w:val="%1."/>
      <w:lvlJc w:val="left"/>
      <w:pPr>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
    <w:nsid w:val="569D7B5B"/>
    <w:multiLevelType w:val="hybridMultilevel"/>
    <w:tmpl w:val="B900E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716F7D"/>
    <w:multiLevelType w:val="hybridMultilevel"/>
    <w:tmpl w:val="D3061DB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3821BF0"/>
    <w:multiLevelType w:val="hybridMultilevel"/>
    <w:tmpl w:val="F0AC8D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5EA52CA"/>
    <w:multiLevelType w:val="hybridMultilevel"/>
    <w:tmpl w:val="8E306200"/>
    <w:lvl w:ilvl="0" w:tplc="2E18D556">
      <w:start w:val="1"/>
      <w:numFmt w:val="bullet"/>
      <w:lvlText w:val=""/>
      <w:lvlJc w:val="left"/>
      <w:pPr>
        <w:tabs>
          <w:tab w:val="num" w:pos="720"/>
        </w:tabs>
        <w:ind w:left="720" w:hanging="360"/>
      </w:pPr>
      <w:rPr>
        <w:rFonts w:ascii="Wingdings" w:hAnsi="Wingdings" w:hint="default"/>
      </w:rPr>
    </w:lvl>
    <w:lvl w:ilvl="1" w:tplc="F53A6420" w:tentative="1">
      <w:start w:val="1"/>
      <w:numFmt w:val="bullet"/>
      <w:lvlText w:val=""/>
      <w:lvlJc w:val="left"/>
      <w:pPr>
        <w:tabs>
          <w:tab w:val="num" w:pos="1440"/>
        </w:tabs>
        <w:ind w:left="1440" w:hanging="360"/>
      </w:pPr>
      <w:rPr>
        <w:rFonts w:ascii="Wingdings" w:hAnsi="Wingdings" w:hint="default"/>
      </w:rPr>
    </w:lvl>
    <w:lvl w:ilvl="2" w:tplc="8722CB64" w:tentative="1">
      <w:start w:val="1"/>
      <w:numFmt w:val="bullet"/>
      <w:lvlText w:val=""/>
      <w:lvlJc w:val="left"/>
      <w:pPr>
        <w:tabs>
          <w:tab w:val="num" w:pos="2160"/>
        </w:tabs>
        <w:ind w:left="2160" w:hanging="360"/>
      </w:pPr>
      <w:rPr>
        <w:rFonts w:ascii="Wingdings" w:hAnsi="Wingdings" w:hint="default"/>
      </w:rPr>
    </w:lvl>
    <w:lvl w:ilvl="3" w:tplc="596845F2" w:tentative="1">
      <w:start w:val="1"/>
      <w:numFmt w:val="bullet"/>
      <w:lvlText w:val=""/>
      <w:lvlJc w:val="left"/>
      <w:pPr>
        <w:tabs>
          <w:tab w:val="num" w:pos="2880"/>
        </w:tabs>
        <w:ind w:left="2880" w:hanging="360"/>
      </w:pPr>
      <w:rPr>
        <w:rFonts w:ascii="Wingdings" w:hAnsi="Wingdings" w:hint="default"/>
      </w:rPr>
    </w:lvl>
    <w:lvl w:ilvl="4" w:tplc="C51E973C" w:tentative="1">
      <w:start w:val="1"/>
      <w:numFmt w:val="bullet"/>
      <w:lvlText w:val=""/>
      <w:lvlJc w:val="left"/>
      <w:pPr>
        <w:tabs>
          <w:tab w:val="num" w:pos="3600"/>
        </w:tabs>
        <w:ind w:left="3600" w:hanging="360"/>
      </w:pPr>
      <w:rPr>
        <w:rFonts w:ascii="Wingdings" w:hAnsi="Wingdings" w:hint="default"/>
      </w:rPr>
    </w:lvl>
    <w:lvl w:ilvl="5" w:tplc="8670DE9A" w:tentative="1">
      <w:start w:val="1"/>
      <w:numFmt w:val="bullet"/>
      <w:lvlText w:val=""/>
      <w:lvlJc w:val="left"/>
      <w:pPr>
        <w:tabs>
          <w:tab w:val="num" w:pos="4320"/>
        </w:tabs>
        <w:ind w:left="4320" w:hanging="360"/>
      </w:pPr>
      <w:rPr>
        <w:rFonts w:ascii="Wingdings" w:hAnsi="Wingdings" w:hint="default"/>
      </w:rPr>
    </w:lvl>
    <w:lvl w:ilvl="6" w:tplc="79343F5A" w:tentative="1">
      <w:start w:val="1"/>
      <w:numFmt w:val="bullet"/>
      <w:lvlText w:val=""/>
      <w:lvlJc w:val="left"/>
      <w:pPr>
        <w:tabs>
          <w:tab w:val="num" w:pos="5040"/>
        </w:tabs>
        <w:ind w:left="5040" w:hanging="360"/>
      </w:pPr>
      <w:rPr>
        <w:rFonts w:ascii="Wingdings" w:hAnsi="Wingdings" w:hint="default"/>
      </w:rPr>
    </w:lvl>
    <w:lvl w:ilvl="7" w:tplc="DA00B378" w:tentative="1">
      <w:start w:val="1"/>
      <w:numFmt w:val="bullet"/>
      <w:lvlText w:val=""/>
      <w:lvlJc w:val="left"/>
      <w:pPr>
        <w:tabs>
          <w:tab w:val="num" w:pos="5760"/>
        </w:tabs>
        <w:ind w:left="5760" w:hanging="360"/>
      </w:pPr>
      <w:rPr>
        <w:rFonts w:ascii="Wingdings" w:hAnsi="Wingdings" w:hint="default"/>
      </w:rPr>
    </w:lvl>
    <w:lvl w:ilvl="8" w:tplc="B3B0E394" w:tentative="1">
      <w:start w:val="1"/>
      <w:numFmt w:val="bullet"/>
      <w:lvlText w:val=""/>
      <w:lvlJc w:val="left"/>
      <w:pPr>
        <w:tabs>
          <w:tab w:val="num" w:pos="6480"/>
        </w:tabs>
        <w:ind w:left="6480" w:hanging="360"/>
      </w:pPr>
      <w:rPr>
        <w:rFonts w:ascii="Wingdings" w:hAnsi="Wingdings" w:hint="default"/>
      </w:rPr>
    </w:lvl>
  </w:abstractNum>
  <w:abstractNum w:abstractNumId="12">
    <w:nsid w:val="7B460919"/>
    <w:multiLevelType w:val="hybridMultilevel"/>
    <w:tmpl w:val="5964EBCA"/>
    <w:lvl w:ilvl="0" w:tplc="FD4A888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E5A056D"/>
    <w:multiLevelType w:val="hybridMultilevel"/>
    <w:tmpl w:val="2F3A387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start w:val="1"/>
      <w:numFmt w:val="decimal"/>
      <w:lvlText w:val="%4."/>
      <w:lvlJc w:val="left"/>
      <w:pPr>
        <w:ind w:left="81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0"/>
  </w:num>
  <w:num w:numId="2">
    <w:abstractNumId w:val="9"/>
  </w:num>
  <w:num w:numId="3">
    <w:abstractNumId w:val="3"/>
  </w:num>
  <w:num w:numId="4">
    <w:abstractNumId w:val="4"/>
  </w:num>
  <w:num w:numId="5">
    <w:abstractNumId w:val="13"/>
  </w:num>
  <w:num w:numId="6">
    <w:abstractNumId w:val="7"/>
  </w:num>
  <w:num w:numId="7">
    <w:abstractNumId w:val="6"/>
  </w:num>
  <w:num w:numId="8">
    <w:abstractNumId w:val="1"/>
  </w:num>
  <w:num w:numId="9">
    <w:abstractNumId w:val="11"/>
  </w:num>
  <w:num w:numId="10">
    <w:abstractNumId w:val="2"/>
  </w:num>
  <w:num w:numId="11">
    <w:abstractNumId w:val="0"/>
  </w:num>
  <w:num w:numId="12">
    <w:abstractNumId w:val="12"/>
  </w:num>
  <w:num w:numId="13">
    <w:abstractNumId w:val="5"/>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83E45"/>
    <w:rsid w:val="000007DE"/>
    <w:rsid w:val="00011F58"/>
    <w:rsid w:val="00012093"/>
    <w:rsid w:val="00021F93"/>
    <w:rsid w:val="00026DF4"/>
    <w:rsid w:val="0005443D"/>
    <w:rsid w:val="00057AE3"/>
    <w:rsid w:val="00063707"/>
    <w:rsid w:val="00083336"/>
    <w:rsid w:val="00083E1C"/>
    <w:rsid w:val="00085F7E"/>
    <w:rsid w:val="000A4166"/>
    <w:rsid w:val="000A6BF1"/>
    <w:rsid w:val="000B3250"/>
    <w:rsid w:val="000B46C1"/>
    <w:rsid w:val="000E01BC"/>
    <w:rsid w:val="000E1E41"/>
    <w:rsid w:val="000E4EA0"/>
    <w:rsid w:val="000F192E"/>
    <w:rsid w:val="000F5AEB"/>
    <w:rsid w:val="001014B6"/>
    <w:rsid w:val="00115384"/>
    <w:rsid w:val="00120E03"/>
    <w:rsid w:val="00123343"/>
    <w:rsid w:val="001357C0"/>
    <w:rsid w:val="00137EB1"/>
    <w:rsid w:val="001605BF"/>
    <w:rsid w:val="001A261D"/>
    <w:rsid w:val="001A3348"/>
    <w:rsid w:val="001A4F00"/>
    <w:rsid w:val="001C379E"/>
    <w:rsid w:val="001C4A8E"/>
    <w:rsid w:val="001D47C9"/>
    <w:rsid w:val="001E6DE6"/>
    <w:rsid w:val="00224E2E"/>
    <w:rsid w:val="00232A81"/>
    <w:rsid w:val="00234C03"/>
    <w:rsid w:val="002527AD"/>
    <w:rsid w:val="002613D0"/>
    <w:rsid w:val="002731D5"/>
    <w:rsid w:val="0028332C"/>
    <w:rsid w:val="00296DBD"/>
    <w:rsid w:val="002A0919"/>
    <w:rsid w:val="002D26BA"/>
    <w:rsid w:val="002D6552"/>
    <w:rsid w:val="002E40F0"/>
    <w:rsid w:val="002F6799"/>
    <w:rsid w:val="003220D0"/>
    <w:rsid w:val="003333C7"/>
    <w:rsid w:val="00333D1A"/>
    <w:rsid w:val="003540B1"/>
    <w:rsid w:val="00354545"/>
    <w:rsid w:val="003608D9"/>
    <w:rsid w:val="003643B2"/>
    <w:rsid w:val="00365924"/>
    <w:rsid w:val="003674E2"/>
    <w:rsid w:val="00382B90"/>
    <w:rsid w:val="00383495"/>
    <w:rsid w:val="00385BDE"/>
    <w:rsid w:val="0039164A"/>
    <w:rsid w:val="003A55FD"/>
    <w:rsid w:val="003C204C"/>
    <w:rsid w:val="003D02BF"/>
    <w:rsid w:val="003D76E9"/>
    <w:rsid w:val="003E33A5"/>
    <w:rsid w:val="003E7CF7"/>
    <w:rsid w:val="003E7F6A"/>
    <w:rsid w:val="003F4715"/>
    <w:rsid w:val="00413343"/>
    <w:rsid w:val="004146FE"/>
    <w:rsid w:val="00420726"/>
    <w:rsid w:val="0042204F"/>
    <w:rsid w:val="00430EE3"/>
    <w:rsid w:val="00452841"/>
    <w:rsid w:val="00456445"/>
    <w:rsid w:val="00456582"/>
    <w:rsid w:val="00460780"/>
    <w:rsid w:val="00461293"/>
    <w:rsid w:val="00472627"/>
    <w:rsid w:val="00474F41"/>
    <w:rsid w:val="00482009"/>
    <w:rsid w:val="004906B3"/>
    <w:rsid w:val="0049439B"/>
    <w:rsid w:val="00496B1F"/>
    <w:rsid w:val="004A2458"/>
    <w:rsid w:val="004B67E8"/>
    <w:rsid w:val="004E02A9"/>
    <w:rsid w:val="004E1DA8"/>
    <w:rsid w:val="0051056E"/>
    <w:rsid w:val="00521830"/>
    <w:rsid w:val="00523BA7"/>
    <w:rsid w:val="00527D3C"/>
    <w:rsid w:val="0055232F"/>
    <w:rsid w:val="00552A79"/>
    <w:rsid w:val="00562099"/>
    <w:rsid w:val="0056555B"/>
    <w:rsid w:val="00565D2C"/>
    <w:rsid w:val="005772CB"/>
    <w:rsid w:val="0058306D"/>
    <w:rsid w:val="005A2B92"/>
    <w:rsid w:val="005B0C0A"/>
    <w:rsid w:val="005B1381"/>
    <w:rsid w:val="005B796E"/>
    <w:rsid w:val="005C6448"/>
    <w:rsid w:val="005E6E90"/>
    <w:rsid w:val="00602BDA"/>
    <w:rsid w:val="006037DE"/>
    <w:rsid w:val="0061087C"/>
    <w:rsid w:val="00642AD7"/>
    <w:rsid w:val="00644A1E"/>
    <w:rsid w:val="0067146E"/>
    <w:rsid w:val="006841A9"/>
    <w:rsid w:val="006863D7"/>
    <w:rsid w:val="00692FDE"/>
    <w:rsid w:val="00693771"/>
    <w:rsid w:val="006A4D3E"/>
    <w:rsid w:val="006C4389"/>
    <w:rsid w:val="006D6D01"/>
    <w:rsid w:val="0074304E"/>
    <w:rsid w:val="007617CA"/>
    <w:rsid w:val="0077020A"/>
    <w:rsid w:val="007B10E9"/>
    <w:rsid w:val="007C5AA8"/>
    <w:rsid w:val="007D0B0F"/>
    <w:rsid w:val="007D498A"/>
    <w:rsid w:val="007E2B92"/>
    <w:rsid w:val="007F181C"/>
    <w:rsid w:val="00800552"/>
    <w:rsid w:val="0080287D"/>
    <w:rsid w:val="00840F79"/>
    <w:rsid w:val="00842F18"/>
    <w:rsid w:val="0084487F"/>
    <w:rsid w:val="00844ED7"/>
    <w:rsid w:val="00854ADC"/>
    <w:rsid w:val="008672A3"/>
    <w:rsid w:val="00875131"/>
    <w:rsid w:val="0087543C"/>
    <w:rsid w:val="00880C15"/>
    <w:rsid w:val="00892A35"/>
    <w:rsid w:val="0089505F"/>
    <w:rsid w:val="00897726"/>
    <w:rsid w:val="008B01CE"/>
    <w:rsid w:val="008B447D"/>
    <w:rsid w:val="008B4E24"/>
    <w:rsid w:val="008B587B"/>
    <w:rsid w:val="008C7B03"/>
    <w:rsid w:val="008D0849"/>
    <w:rsid w:val="008F2C73"/>
    <w:rsid w:val="009061B7"/>
    <w:rsid w:val="00906717"/>
    <w:rsid w:val="00915C37"/>
    <w:rsid w:val="00926844"/>
    <w:rsid w:val="0098720E"/>
    <w:rsid w:val="009B1B5F"/>
    <w:rsid w:val="009B308B"/>
    <w:rsid w:val="009B60C5"/>
    <w:rsid w:val="009D260C"/>
    <w:rsid w:val="009E09C7"/>
    <w:rsid w:val="009F41AA"/>
    <w:rsid w:val="00A25B9A"/>
    <w:rsid w:val="00A73A77"/>
    <w:rsid w:val="00A82537"/>
    <w:rsid w:val="00A84046"/>
    <w:rsid w:val="00A93055"/>
    <w:rsid w:val="00AB6129"/>
    <w:rsid w:val="00AC4AC9"/>
    <w:rsid w:val="00AC7C0A"/>
    <w:rsid w:val="00AD70B0"/>
    <w:rsid w:val="00AF06FA"/>
    <w:rsid w:val="00AF31E1"/>
    <w:rsid w:val="00AF7458"/>
    <w:rsid w:val="00B020E8"/>
    <w:rsid w:val="00B1105E"/>
    <w:rsid w:val="00B14120"/>
    <w:rsid w:val="00B1618A"/>
    <w:rsid w:val="00B62903"/>
    <w:rsid w:val="00B7372D"/>
    <w:rsid w:val="00B94AF1"/>
    <w:rsid w:val="00BB7FE8"/>
    <w:rsid w:val="00BC5F5C"/>
    <w:rsid w:val="00BE6B1B"/>
    <w:rsid w:val="00C1019E"/>
    <w:rsid w:val="00C11857"/>
    <w:rsid w:val="00C2249C"/>
    <w:rsid w:val="00C3227A"/>
    <w:rsid w:val="00C56FF2"/>
    <w:rsid w:val="00C66AA6"/>
    <w:rsid w:val="00C703A8"/>
    <w:rsid w:val="00C878B2"/>
    <w:rsid w:val="00C9759D"/>
    <w:rsid w:val="00CA7C61"/>
    <w:rsid w:val="00CB3E53"/>
    <w:rsid w:val="00CC1B98"/>
    <w:rsid w:val="00CC6246"/>
    <w:rsid w:val="00CF335C"/>
    <w:rsid w:val="00CF5C77"/>
    <w:rsid w:val="00CF7D54"/>
    <w:rsid w:val="00D03667"/>
    <w:rsid w:val="00D10C0E"/>
    <w:rsid w:val="00D15047"/>
    <w:rsid w:val="00D35911"/>
    <w:rsid w:val="00D43E85"/>
    <w:rsid w:val="00D44DD0"/>
    <w:rsid w:val="00D5510F"/>
    <w:rsid w:val="00D647CE"/>
    <w:rsid w:val="00D651EE"/>
    <w:rsid w:val="00D65C8F"/>
    <w:rsid w:val="00D66109"/>
    <w:rsid w:val="00D669BC"/>
    <w:rsid w:val="00D763D9"/>
    <w:rsid w:val="00D800D2"/>
    <w:rsid w:val="00D83E45"/>
    <w:rsid w:val="00D900B8"/>
    <w:rsid w:val="00D9069F"/>
    <w:rsid w:val="00D96D72"/>
    <w:rsid w:val="00D9768A"/>
    <w:rsid w:val="00DA6ABB"/>
    <w:rsid w:val="00DB6B45"/>
    <w:rsid w:val="00DC7D69"/>
    <w:rsid w:val="00E40497"/>
    <w:rsid w:val="00E6402D"/>
    <w:rsid w:val="00E94640"/>
    <w:rsid w:val="00E95608"/>
    <w:rsid w:val="00EA0AB4"/>
    <w:rsid w:val="00EA2194"/>
    <w:rsid w:val="00EB0F3E"/>
    <w:rsid w:val="00EC4412"/>
    <w:rsid w:val="00ED48EA"/>
    <w:rsid w:val="00ED77AC"/>
    <w:rsid w:val="00ED7E26"/>
    <w:rsid w:val="00EE3866"/>
    <w:rsid w:val="00EF287B"/>
    <w:rsid w:val="00F00340"/>
    <w:rsid w:val="00F0370D"/>
    <w:rsid w:val="00F1702B"/>
    <w:rsid w:val="00F24403"/>
    <w:rsid w:val="00F336C1"/>
    <w:rsid w:val="00F43EBB"/>
    <w:rsid w:val="00F507F1"/>
    <w:rsid w:val="00F53724"/>
    <w:rsid w:val="00F9058F"/>
    <w:rsid w:val="00F92D01"/>
    <w:rsid w:val="00F93CF5"/>
    <w:rsid w:val="00FA62FE"/>
    <w:rsid w:val="00FB59CE"/>
    <w:rsid w:val="00FC4CCA"/>
    <w:rsid w:val="00FD5704"/>
    <w:rsid w:val="00FD7ADA"/>
    <w:rsid w:val="00FE7E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51"/>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83E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style8"/>
    <w:basedOn w:val="Normal"/>
    <w:rsid w:val="00D83E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1">
    <w:name w:val="style11"/>
    <w:basedOn w:val="DefaultParagraphFont"/>
    <w:rsid w:val="00D83E45"/>
  </w:style>
  <w:style w:type="paragraph" w:styleId="Header">
    <w:name w:val="header"/>
    <w:basedOn w:val="Normal"/>
    <w:link w:val="HeaderChar"/>
    <w:uiPriority w:val="99"/>
    <w:unhideWhenUsed/>
    <w:rsid w:val="00D83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E45"/>
  </w:style>
  <w:style w:type="paragraph" w:styleId="Title">
    <w:name w:val="Title"/>
    <w:basedOn w:val="Normal"/>
    <w:next w:val="Normal"/>
    <w:link w:val="TitleChar"/>
    <w:uiPriority w:val="10"/>
    <w:qFormat/>
    <w:rsid w:val="00ED77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77A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82537"/>
    <w:pPr>
      <w:ind w:left="720"/>
      <w:contextualSpacing/>
    </w:pPr>
  </w:style>
  <w:style w:type="table" w:customStyle="1" w:styleId="MediumList1-Accent11">
    <w:name w:val="Medium List 1 - Accent 11"/>
    <w:basedOn w:val="TableNormal"/>
    <w:uiPriority w:val="65"/>
    <w:rsid w:val="00EA0AB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Grid2-Accent3">
    <w:name w:val="Medium Grid 2 Accent 3"/>
    <w:basedOn w:val="TableNormal"/>
    <w:uiPriority w:val="68"/>
    <w:rsid w:val="00EA0AB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A0AB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TableGrid">
    <w:name w:val="Table Grid"/>
    <w:basedOn w:val="TableNormal"/>
    <w:uiPriority w:val="59"/>
    <w:rsid w:val="003D02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3D02B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3D02B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Grid-Accent11">
    <w:name w:val="Light Grid - Accent 11"/>
    <w:basedOn w:val="TableNormal"/>
    <w:uiPriority w:val="62"/>
    <w:rsid w:val="002E40F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uthor">
    <w:name w:val="author"/>
    <w:basedOn w:val="DefaultParagraphFont"/>
    <w:rsid w:val="001D47C9"/>
  </w:style>
  <w:style w:type="character" w:styleId="Hyperlink">
    <w:name w:val="Hyperlink"/>
    <w:basedOn w:val="DefaultParagraphFont"/>
    <w:uiPriority w:val="99"/>
    <w:unhideWhenUsed/>
    <w:rsid w:val="001D47C9"/>
    <w:rPr>
      <w:color w:val="0000FF"/>
      <w:u w:val="single"/>
    </w:rPr>
  </w:style>
  <w:style w:type="character" w:customStyle="1" w:styleId="a-declarative">
    <w:name w:val="a-declarative"/>
    <w:basedOn w:val="DefaultParagraphFont"/>
    <w:rsid w:val="001D47C9"/>
  </w:style>
  <w:style w:type="paragraph" w:styleId="NoSpacing">
    <w:name w:val="No Spacing"/>
    <w:uiPriority w:val="1"/>
    <w:qFormat/>
    <w:rsid w:val="00057AE3"/>
    <w:pPr>
      <w:spacing w:after="0" w:line="240" w:lineRule="auto"/>
    </w:pPr>
  </w:style>
  <w:style w:type="paragraph" w:styleId="Footer">
    <w:name w:val="footer"/>
    <w:basedOn w:val="Normal"/>
    <w:link w:val="FooterChar"/>
    <w:uiPriority w:val="99"/>
    <w:semiHidden/>
    <w:unhideWhenUsed/>
    <w:rsid w:val="00EB0F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0F3E"/>
  </w:style>
  <w:style w:type="paragraph" w:styleId="BalloonText">
    <w:name w:val="Balloon Text"/>
    <w:basedOn w:val="Normal"/>
    <w:link w:val="BalloonTextChar"/>
    <w:uiPriority w:val="99"/>
    <w:semiHidden/>
    <w:unhideWhenUsed/>
    <w:rsid w:val="000E4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E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40140">
      <w:bodyDiv w:val="1"/>
      <w:marLeft w:val="0"/>
      <w:marRight w:val="0"/>
      <w:marTop w:val="0"/>
      <w:marBottom w:val="0"/>
      <w:divBdr>
        <w:top w:val="none" w:sz="0" w:space="0" w:color="auto"/>
        <w:left w:val="none" w:sz="0" w:space="0" w:color="auto"/>
        <w:bottom w:val="none" w:sz="0" w:space="0" w:color="auto"/>
        <w:right w:val="none" w:sz="0" w:space="0" w:color="auto"/>
      </w:divBdr>
      <w:divsChild>
        <w:div w:id="288096599">
          <w:marLeft w:val="720"/>
          <w:marRight w:val="0"/>
          <w:marTop w:val="0"/>
          <w:marBottom w:val="0"/>
          <w:divBdr>
            <w:top w:val="none" w:sz="0" w:space="0" w:color="auto"/>
            <w:left w:val="none" w:sz="0" w:space="0" w:color="auto"/>
            <w:bottom w:val="none" w:sz="0" w:space="0" w:color="auto"/>
            <w:right w:val="none" w:sz="0" w:space="0" w:color="auto"/>
          </w:divBdr>
        </w:div>
      </w:divsChild>
    </w:div>
    <w:div w:id="607396349">
      <w:bodyDiv w:val="1"/>
      <w:marLeft w:val="0"/>
      <w:marRight w:val="0"/>
      <w:marTop w:val="0"/>
      <w:marBottom w:val="0"/>
      <w:divBdr>
        <w:top w:val="none" w:sz="0" w:space="0" w:color="auto"/>
        <w:left w:val="none" w:sz="0" w:space="0" w:color="auto"/>
        <w:bottom w:val="none" w:sz="0" w:space="0" w:color="auto"/>
        <w:right w:val="none" w:sz="0" w:space="0" w:color="auto"/>
      </w:divBdr>
    </w:div>
    <w:div w:id="873924540">
      <w:bodyDiv w:val="1"/>
      <w:marLeft w:val="0"/>
      <w:marRight w:val="0"/>
      <w:marTop w:val="0"/>
      <w:marBottom w:val="0"/>
      <w:divBdr>
        <w:top w:val="none" w:sz="0" w:space="0" w:color="auto"/>
        <w:left w:val="none" w:sz="0" w:space="0" w:color="auto"/>
        <w:bottom w:val="none" w:sz="0" w:space="0" w:color="auto"/>
        <w:right w:val="none" w:sz="0" w:space="0" w:color="auto"/>
      </w:divBdr>
    </w:div>
    <w:div w:id="971402348">
      <w:bodyDiv w:val="1"/>
      <w:marLeft w:val="0"/>
      <w:marRight w:val="0"/>
      <w:marTop w:val="0"/>
      <w:marBottom w:val="0"/>
      <w:divBdr>
        <w:top w:val="none" w:sz="0" w:space="0" w:color="auto"/>
        <w:left w:val="none" w:sz="0" w:space="0" w:color="auto"/>
        <w:bottom w:val="none" w:sz="0" w:space="0" w:color="auto"/>
        <w:right w:val="none" w:sz="0" w:space="0" w:color="auto"/>
      </w:divBdr>
    </w:div>
    <w:div w:id="993875189">
      <w:bodyDiv w:val="1"/>
      <w:marLeft w:val="0"/>
      <w:marRight w:val="0"/>
      <w:marTop w:val="0"/>
      <w:marBottom w:val="0"/>
      <w:divBdr>
        <w:top w:val="none" w:sz="0" w:space="0" w:color="auto"/>
        <w:left w:val="none" w:sz="0" w:space="0" w:color="auto"/>
        <w:bottom w:val="none" w:sz="0" w:space="0" w:color="auto"/>
        <w:right w:val="none" w:sz="0" w:space="0" w:color="auto"/>
      </w:divBdr>
    </w:div>
    <w:div w:id="1594364738">
      <w:bodyDiv w:val="1"/>
      <w:marLeft w:val="0"/>
      <w:marRight w:val="0"/>
      <w:marTop w:val="0"/>
      <w:marBottom w:val="0"/>
      <w:divBdr>
        <w:top w:val="none" w:sz="0" w:space="0" w:color="auto"/>
        <w:left w:val="none" w:sz="0" w:space="0" w:color="auto"/>
        <w:bottom w:val="none" w:sz="0" w:space="0" w:color="auto"/>
        <w:right w:val="none" w:sz="0" w:space="0" w:color="auto"/>
      </w:divBdr>
      <w:divsChild>
        <w:div w:id="2037920834">
          <w:marLeft w:val="0"/>
          <w:marRight w:val="0"/>
          <w:marTop w:val="0"/>
          <w:marBottom w:val="0"/>
          <w:divBdr>
            <w:top w:val="none" w:sz="0" w:space="0" w:color="auto"/>
            <w:left w:val="none" w:sz="0" w:space="0" w:color="auto"/>
            <w:bottom w:val="none" w:sz="0" w:space="0" w:color="auto"/>
            <w:right w:val="none" w:sz="0" w:space="0" w:color="auto"/>
          </w:divBdr>
        </w:div>
        <w:div w:id="1719862643">
          <w:marLeft w:val="0"/>
          <w:marRight w:val="0"/>
          <w:marTop w:val="0"/>
          <w:marBottom w:val="0"/>
          <w:divBdr>
            <w:top w:val="none" w:sz="0" w:space="0" w:color="auto"/>
            <w:left w:val="none" w:sz="0" w:space="0" w:color="auto"/>
            <w:bottom w:val="none" w:sz="0" w:space="0" w:color="auto"/>
            <w:right w:val="none" w:sz="0" w:space="0" w:color="auto"/>
          </w:divBdr>
        </w:div>
        <w:div w:id="107820764">
          <w:marLeft w:val="0"/>
          <w:marRight w:val="0"/>
          <w:marTop w:val="0"/>
          <w:marBottom w:val="0"/>
          <w:divBdr>
            <w:top w:val="none" w:sz="0" w:space="0" w:color="auto"/>
            <w:left w:val="none" w:sz="0" w:space="0" w:color="auto"/>
            <w:bottom w:val="none" w:sz="0" w:space="0" w:color="auto"/>
            <w:right w:val="none" w:sz="0" w:space="0" w:color="auto"/>
          </w:divBdr>
        </w:div>
        <w:div w:id="827748799">
          <w:marLeft w:val="0"/>
          <w:marRight w:val="0"/>
          <w:marTop w:val="0"/>
          <w:marBottom w:val="0"/>
          <w:divBdr>
            <w:top w:val="none" w:sz="0" w:space="0" w:color="auto"/>
            <w:left w:val="none" w:sz="0" w:space="0" w:color="auto"/>
            <w:bottom w:val="none" w:sz="0" w:space="0" w:color="auto"/>
            <w:right w:val="none" w:sz="0" w:space="0" w:color="auto"/>
          </w:divBdr>
        </w:div>
      </w:divsChild>
    </w:div>
    <w:div w:id="186158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har.bba@diu.edu.b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Anhar</cp:lastModifiedBy>
  <cp:revision>52</cp:revision>
  <cp:lastPrinted>2015-01-18T13:10:00Z</cp:lastPrinted>
  <dcterms:created xsi:type="dcterms:W3CDTF">2015-03-03T03:57:00Z</dcterms:created>
  <dcterms:modified xsi:type="dcterms:W3CDTF">2020-04-27T14:39:00Z</dcterms:modified>
</cp:coreProperties>
</file>