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19"/>
        <w:tblW w:w="0" w:type="auto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6905"/>
      </w:tblGrid>
      <w:tr w:rsidR="00247B41" w:rsidRPr="00247B41" w:rsidTr="00247B41">
        <w:trPr>
          <w:tblCellSpacing w:w="15" w:type="dxa"/>
        </w:trPr>
        <w:tc>
          <w:tcPr>
            <w:tcW w:w="238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7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Return on Assets </w:t>
            </w:r>
          </w:p>
        </w:tc>
        <w:tc>
          <w:tcPr>
            <w:tcW w:w="686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B41">
              <w:rPr>
                <w:rFonts w:ascii="Times New Roman" w:eastAsia="Times New Roman" w:hAnsi="Times New Roman" w:cs="Times New Roman"/>
                <w:b/>
              </w:rPr>
              <w:t>Profitability Ratio:</w:t>
            </w:r>
            <w:r w:rsidRPr="00247B41">
              <w:rPr>
                <w:rFonts w:ascii="Times New Roman" w:eastAsia="Times New Roman" w:hAnsi="Times New Roman" w:cs="Times New Roman"/>
              </w:rPr>
              <w:br/>
              <w:t>Relates net income to the investment in a</w:t>
            </w:r>
            <w:r>
              <w:rPr>
                <w:rFonts w:ascii="Times New Roman" w:eastAsia="Times New Roman" w:hAnsi="Times New Roman" w:cs="Times New Roman"/>
              </w:rPr>
              <w:t>ll of the financial resources: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247B41">
              <w:rPr>
                <w:rFonts w:ascii="Times New Roman" w:eastAsia="Times New Roman" w:hAnsi="Times New Roman" w:cs="Times New Roman"/>
              </w:rPr>
              <w:t xml:space="preserve">Net profit + interest expense/ Total assets </w:t>
            </w:r>
          </w:p>
        </w:tc>
      </w:tr>
      <w:tr w:rsidR="00247B41" w:rsidRPr="00247B41" w:rsidTr="00247B41">
        <w:trPr>
          <w:tblCellSpacing w:w="15" w:type="dxa"/>
        </w:trPr>
        <w:tc>
          <w:tcPr>
            <w:tcW w:w="238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7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Return on Equity (ROE) </w:t>
            </w:r>
          </w:p>
        </w:tc>
        <w:tc>
          <w:tcPr>
            <w:tcW w:w="686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B41">
              <w:rPr>
                <w:rFonts w:ascii="Times New Roman" w:eastAsia="Times New Roman" w:hAnsi="Times New Roman" w:cs="Times New Roman"/>
                <w:b/>
              </w:rPr>
              <w:t>PROFITABILITY RATIOS:</w:t>
            </w:r>
            <w:r w:rsidRPr="00247B41">
              <w:rPr>
                <w:rFonts w:ascii="Times New Roman" w:eastAsia="Times New Roman" w:hAnsi="Times New Roman" w:cs="Times New Roman"/>
              </w:rPr>
              <w:br/>
              <w:t>Measures rate of return on stockholders’ investment</w:t>
            </w:r>
            <w:r w:rsidRPr="00247B41">
              <w:rPr>
                <w:rFonts w:ascii="Times New Roman" w:eastAsia="Times New Roman" w:hAnsi="Times New Roman" w:cs="Times New Roman"/>
              </w:rPr>
              <w:br/>
              <w:t xml:space="preserve">Net income / Shareholder’s Equity </w:t>
            </w:r>
          </w:p>
        </w:tc>
      </w:tr>
      <w:tr w:rsidR="00247B41" w:rsidRPr="00247B41" w:rsidTr="00247B41">
        <w:trPr>
          <w:tblCellSpacing w:w="15" w:type="dxa"/>
        </w:trPr>
        <w:tc>
          <w:tcPr>
            <w:tcW w:w="238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7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Profit Margin </w:t>
            </w:r>
          </w:p>
        </w:tc>
        <w:tc>
          <w:tcPr>
            <w:tcW w:w="686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B41">
              <w:rPr>
                <w:rFonts w:ascii="Times New Roman" w:eastAsia="Times New Roman" w:hAnsi="Times New Roman" w:cs="Times New Roman"/>
                <w:b/>
              </w:rPr>
              <w:t>PROFITABILITY RATIOS</w:t>
            </w:r>
            <w:proofErr w:type="gramStart"/>
            <w:r w:rsidRPr="00247B41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  <w:r w:rsidRPr="00247B41">
              <w:rPr>
                <w:rFonts w:ascii="Times New Roman" w:eastAsia="Times New Roman" w:hAnsi="Times New Roman" w:cs="Times New Roman"/>
              </w:rPr>
              <w:br/>
              <w:t>This ratio, which gives the return on sales, relates two statement of income measurements to each other.</w:t>
            </w:r>
            <w:r w:rsidRPr="00247B41">
              <w:rPr>
                <w:rFonts w:ascii="Times New Roman" w:eastAsia="Times New Roman" w:hAnsi="Times New Roman" w:cs="Times New Roman"/>
              </w:rPr>
              <w:br/>
              <w:t xml:space="preserve">Net Income/ Net Sales </w:t>
            </w:r>
          </w:p>
        </w:tc>
      </w:tr>
      <w:tr w:rsidR="00247B41" w:rsidRPr="00247B41" w:rsidTr="00247B41">
        <w:trPr>
          <w:tblCellSpacing w:w="15" w:type="dxa"/>
        </w:trPr>
        <w:tc>
          <w:tcPr>
            <w:tcW w:w="238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7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Asset Turnover </w:t>
            </w:r>
          </w:p>
        </w:tc>
        <w:tc>
          <w:tcPr>
            <w:tcW w:w="686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B41">
              <w:rPr>
                <w:rFonts w:ascii="Times New Roman" w:eastAsia="Times New Roman" w:hAnsi="Times New Roman" w:cs="Times New Roman"/>
                <w:b/>
              </w:rPr>
              <w:t>ACTIVITY RATIOS</w:t>
            </w:r>
            <w:proofErr w:type="gramStart"/>
            <w:r w:rsidRPr="00247B41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  <w:r w:rsidRPr="00247B41">
              <w:rPr>
                <w:rFonts w:ascii="Times New Roman" w:eastAsia="Times New Roman" w:hAnsi="Times New Roman" w:cs="Times New Roman"/>
              </w:rPr>
              <w:br/>
              <w:t>Assesses effectiveness in generating sales from investments in all assets.</w:t>
            </w:r>
            <w:r w:rsidRPr="00247B41">
              <w:rPr>
                <w:rFonts w:ascii="Times New Roman" w:eastAsia="Times New Roman" w:hAnsi="Times New Roman" w:cs="Times New Roman"/>
              </w:rPr>
              <w:br/>
              <w:t xml:space="preserve">Net sales / Total assets </w:t>
            </w:r>
          </w:p>
        </w:tc>
      </w:tr>
      <w:tr w:rsidR="00247B41" w:rsidRPr="00247B41" w:rsidTr="00247B41">
        <w:trPr>
          <w:tblCellSpacing w:w="15" w:type="dxa"/>
        </w:trPr>
        <w:tc>
          <w:tcPr>
            <w:tcW w:w="238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7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Day’s Receivable </w:t>
            </w:r>
          </w:p>
        </w:tc>
        <w:tc>
          <w:tcPr>
            <w:tcW w:w="686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B41">
              <w:rPr>
                <w:rFonts w:ascii="Times New Roman" w:eastAsia="Times New Roman" w:hAnsi="Times New Roman" w:cs="Times New Roman"/>
                <w:b/>
              </w:rPr>
              <w:t>ACTIVITY RATIOS</w:t>
            </w:r>
            <w:proofErr w:type="gramStart"/>
            <w:r w:rsidRPr="00247B41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  <w:r w:rsidRPr="00247B41">
              <w:rPr>
                <w:rFonts w:ascii="Times New Roman" w:eastAsia="Times New Roman" w:hAnsi="Times New Roman" w:cs="Times New Roman"/>
              </w:rPr>
              <w:br/>
              <w:t>Provides evidence about the amount of time that lapses between sales and receipt of payment from customers.</w:t>
            </w:r>
            <w:r w:rsidRPr="00247B41">
              <w:rPr>
                <w:rFonts w:ascii="Times New Roman" w:eastAsia="Times New Roman" w:hAnsi="Times New Roman" w:cs="Times New Roman"/>
              </w:rPr>
              <w:br/>
              <w:t>Average Day’s Sales = Net sales/365</w:t>
            </w:r>
            <w:r w:rsidRPr="00247B41">
              <w:rPr>
                <w:rFonts w:ascii="Times New Roman" w:eastAsia="Times New Roman" w:hAnsi="Times New Roman" w:cs="Times New Roman"/>
              </w:rPr>
              <w:br/>
              <w:t xml:space="preserve">Accounts Receivable / Average Day’s Sales </w:t>
            </w:r>
          </w:p>
        </w:tc>
      </w:tr>
      <w:tr w:rsidR="00247B41" w:rsidRPr="00247B41" w:rsidTr="00247B41">
        <w:trPr>
          <w:tblCellSpacing w:w="15" w:type="dxa"/>
        </w:trPr>
        <w:tc>
          <w:tcPr>
            <w:tcW w:w="238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7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Inventory Turnover </w:t>
            </w:r>
          </w:p>
        </w:tc>
        <w:tc>
          <w:tcPr>
            <w:tcW w:w="686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B41">
              <w:rPr>
                <w:rFonts w:ascii="Times New Roman" w:eastAsia="Times New Roman" w:hAnsi="Times New Roman" w:cs="Times New Roman"/>
                <w:b/>
              </w:rPr>
              <w:t>ACTIVITY RATIOS</w:t>
            </w:r>
            <w:r w:rsidRPr="00247B41">
              <w:rPr>
                <w:rFonts w:ascii="Times New Roman" w:eastAsia="Times New Roman" w:hAnsi="Times New Roman" w:cs="Times New Roman"/>
              </w:rPr>
              <w:br/>
              <w:t>Determining the number of times that inventory is sold during the year.</w:t>
            </w:r>
            <w:r w:rsidRPr="00247B41">
              <w:rPr>
                <w:rFonts w:ascii="Times New Roman" w:eastAsia="Times New Roman" w:hAnsi="Times New Roman" w:cs="Times New Roman"/>
              </w:rPr>
              <w:br/>
              <w:t xml:space="preserve">Inventory turnover = Cost of Goods Sold/Average Inventory </w:t>
            </w:r>
            <w:proofErr w:type="spellStart"/>
            <w:r w:rsidRPr="00247B41">
              <w:rPr>
                <w:rFonts w:ascii="Times New Roman" w:eastAsia="Times New Roman" w:hAnsi="Times New Roman" w:cs="Times New Roman"/>
              </w:rPr>
              <w:t>Inventory</w:t>
            </w:r>
            <w:proofErr w:type="spellEnd"/>
            <w:r w:rsidRPr="00247B41">
              <w:rPr>
                <w:rFonts w:ascii="Times New Roman" w:eastAsia="Times New Roman" w:hAnsi="Times New Roman" w:cs="Times New Roman"/>
              </w:rPr>
              <w:t xml:space="preserve"> turnover (in days) = 365/Inventory Turnover </w:t>
            </w:r>
          </w:p>
        </w:tc>
      </w:tr>
      <w:tr w:rsidR="00247B41" w:rsidRPr="00247B41" w:rsidTr="00247B41">
        <w:trPr>
          <w:tblCellSpacing w:w="15" w:type="dxa"/>
        </w:trPr>
        <w:tc>
          <w:tcPr>
            <w:tcW w:w="238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7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Debt Ratio </w:t>
            </w:r>
          </w:p>
        </w:tc>
        <w:tc>
          <w:tcPr>
            <w:tcW w:w="686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B41">
              <w:rPr>
                <w:rFonts w:ascii="Times New Roman" w:eastAsia="Times New Roman" w:hAnsi="Times New Roman" w:cs="Times New Roman"/>
                <w:b/>
              </w:rPr>
              <w:t>SOLVENCY &amp; LEVERAGE RATIOS: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247B41">
              <w:rPr>
                <w:rFonts w:ascii="Times New Roman" w:eastAsia="Times New Roman" w:hAnsi="Times New Roman" w:cs="Times New Roman"/>
              </w:rPr>
              <w:t xml:space="preserve">Total liabilities / Total assets </w:t>
            </w:r>
          </w:p>
        </w:tc>
      </w:tr>
      <w:tr w:rsidR="00247B41" w:rsidRPr="00247B41" w:rsidTr="00247B41">
        <w:trPr>
          <w:tblCellSpacing w:w="15" w:type="dxa"/>
        </w:trPr>
        <w:tc>
          <w:tcPr>
            <w:tcW w:w="238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7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Times Interest Earned </w:t>
            </w:r>
          </w:p>
        </w:tc>
        <w:tc>
          <w:tcPr>
            <w:tcW w:w="686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B41">
              <w:rPr>
                <w:rFonts w:ascii="Times New Roman" w:eastAsia="Times New Roman" w:hAnsi="Times New Roman" w:cs="Times New Roman"/>
                <w:b/>
              </w:rPr>
              <w:t>SOLVENCY &amp; LEVERAGE RATIO: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247B41">
              <w:rPr>
                <w:rFonts w:ascii="Times New Roman" w:eastAsia="Times New Roman" w:hAnsi="Times New Roman" w:cs="Times New Roman"/>
              </w:rPr>
              <w:t xml:space="preserve">Pretax Operating Income + Interest Expense / Interest </w:t>
            </w:r>
          </w:p>
        </w:tc>
      </w:tr>
      <w:tr w:rsidR="00247B41" w:rsidRPr="00247B41" w:rsidTr="00247B41">
        <w:trPr>
          <w:tblCellSpacing w:w="15" w:type="dxa"/>
        </w:trPr>
        <w:tc>
          <w:tcPr>
            <w:tcW w:w="238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7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Price-to-Earnings (P/E) </w:t>
            </w:r>
          </w:p>
        </w:tc>
        <w:tc>
          <w:tcPr>
            <w:tcW w:w="686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B41">
              <w:rPr>
                <w:rFonts w:ascii="Times New Roman" w:eastAsia="Times New Roman" w:hAnsi="Times New Roman" w:cs="Times New Roman"/>
                <w:b/>
              </w:rPr>
              <w:t>MARKET RATIO: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0" w:name="_GoBack"/>
            <w:bookmarkEnd w:id="0"/>
            <w:r w:rsidRPr="00247B41">
              <w:rPr>
                <w:rFonts w:ascii="Times New Roman" w:eastAsia="Times New Roman" w:hAnsi="Times New Roman" w:cs="Times New Roman"/>
              </w:rPr>
              <w:t xml:space="preserve">Market price of common stock / Earnings per share </w:t>
            </w:r>
          </w:p>
        </w:tc>
      </w:tr>
      <w:tr w:rsidR="00247B41" w:rsidRPr="00247B41" w:rsidTr="00247B41">
        <w:trPr>
          <w:tblCellSpacing w:w="15" w:type="dxa"/>
        </w:trPr>
        <w:tc>
          <w:tcPr>
            <w:tcW w:w="238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7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Dividend Yield </w:t>
            </w:r>
          </w:p>
        </w:tc>
        <w:tc>
          <w:tcPr>
            <w:tcW w:w="686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B41">
              <w:rPr>
                <w:rFonts w:ascii="Times New Roman" w:eastAsia="Times New Roman" w:hAnsi="Times New Roman" w:cs="Times New Roman"/>
                <w:b/>
              </w:rPr>
              <w:t>MARKET RATIOS</w:t>
            </w:r>
            <w:r w:rsidRPr="00247B41">
              <w:rPr>
                <w:rFonts w:ascii="Times New Roman" w:eastAsia="Times New Roman" w:hAnsi="Times New Roman" w:cs="Times New Roman"/>
              </w:rPr>
              <w:br/>
              <w:t>The dividend yield to common shareholders is dependent upon the market price originally paid for the share</w:t>
            </w:r>
            <w:r w:rsidRPr="00247B41">
              <w:rPr>
                <w:rFonts w:ascii="Times New Roman" w:eastAsia="Times New Roman" w:hAnsi="Times New Roman" w:cs="Times New Roman"/>
              </w:rPr>
              <w:br/>
              <w:t xml:space="preserve">Dividends per share / Market Price per share </w:t>
            </w:r>
          </w:p>
        </w:tc>
      </w:tr>
      <w:tr w:rsidR="00247B41" w:rsidRPr="00247B41" w:rsidTr="00247B41">
        <w:trPr>
          <w:tblCellSpacing w:w="15" w:type="dxa"/>
        </w:trPr>
        <w:tc>
          <w:tcPr>
            <w:tcW w:w="238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7B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Dividend Payout </w:t>
            </w:r>
          </w:p>
        </w:tc>
        <w:tc>
          <w:tcPr>
            <w:tcW w:w="6860" w:type="dxa"/>
            <w:vAlign w:val="center"/>
            <w:hideMark/>
          </w:tcPr>
          <w:p w:rsidR="00247B41" w:rsidRPr="00247B41" w:rsidRDefault="00247B41" w:rsidP="00247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B41">
              <w:rPr>
                <w:rFonts w:ascii="Times New Roman" w:eastAsia="Times New Roman" w:hAnsi="Times New Roman" w:cs="Times New Roman"/>
                <w:b/>
              </w:rPr>
              <w:t>MARKET RATIOS</w:t>
            </w:r>
            <w:proofErr w:type="gramStart"/>
            <w:r w:rsidRPr="00247B41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  <w:r w:rsidRPr="00247B41">
              <w:rPr>
                <w:rFonts w:ascii="Times New Roman" w:eastAsia="Times New Roman" w:hAnsi="Times New Roman" w:cs="Times New Roman"/>
              </w:rPr>
              <w:br/>
              <w:t>The dividend payout ratio shows the proportion of net income that was paid in dividends.</w:t>
            </w:r>
            <w:r w:rsidRPr="00247B41">
              <w:rPr>
                <w:rFonts w:ascii="Times New Roman" w:eastAsia="Times New Roman" w:hAnsi="Times New Roman" w:cs="Times New Roman"/>
              </w:rPr>
              <w:br/>
              <w:t xml:space="preserve">Dividends / Net income (available to common shareholders) </w:t>
            </w:r>
          </w:p>
        </w:tc>
      </w:tr>
    </w:tbl>
    <w:p w:rsidR="00247B41" w:rsidRPr="00247B41" w:rsidRDefault="00247B41" w:rsidP="0024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47B41">
        <w:rPr>
          <w:rFonts w:ascii="Times New Roman" w:eastAsia="Times New Roman" w:hAnsi="Times New Roman" w:cs="Times New Roman"/>
          <w:b/>
          <w:i/>
          <w:sz w:val="32"/>
          <w:szCs w:val="32"/>
        </w:rPr>
        <w:t>Financial Statement Analysis</w:t>
      </w:r>
    </w:p>
    <w:p w:rsidR="00472333" w:rsidRDefault="00472333"/>
    <w:sectPr w:rsidR="00472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41"/>
    <w:rsid w:val="00247B41"/>
    <w:rsid w:val="0047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F1FEB-86C6-431B-84B0-DA3B1442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1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9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6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62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98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15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209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2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27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12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57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8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166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4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419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92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37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57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24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105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954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2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9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7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77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5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63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00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43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59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907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92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02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39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67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87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818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46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095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9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1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2022-09-08T12:34:00Z</dcterms:created>
  <dcterms:modified xsi:type="dcterms:W3CDTF">2022-09-08T12:40:00Z</dcterms:modified>
</cp:coreProperties>
</file>