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gridCol w:w="5306"/>
      </w:tblGrid>
      <w:tr w:rsidR="00965C58" w:rsidRPr="00E25A59" w:rsidTr="00E25A59">
        <w:tc>
          <w:tcPr>
            <w:tcW w:w="3936" w:type="dxa"/>
          </w:tcPr>
          <w:p w:rsidR="00965C58" w:rsidRDefault="00965C58" w:rsidP="00E25A59">
            <w:pPr>
              <w:rPr>
                <w:b/>
                <w:i/>
                <w:sz w:val="20"/>
                <w:szCs w:val="20"/>
              </w:rPr>
            </w:pPr>
            <w:r>
              <w:rPr>
                <w:b/>
                <w:i/>
                <w:sz w:val="20"/>
                <w:szCs w:val="20"/>
              </w:rPr>
              <w:t>Absolute majority</w:t>
            </w:r>
          </w:p>
        </w:tc>
        <w:tc>
          <w:tcPr>
            <w:tcW w:w="5306" w:type="dxa"/>
          </w:tcPr>
          <w:p w:rsidR="00965C58" w:rsidRDefault="00965C58" w:rsidP="00E25A59">
            <w:pPr>
              <w:rPr>
                <w:sz w:val="20"/>
                <w:szCs w:val="20"/>
              </w:rPr>
            </w:pPr>
            <w:r>
              <w:rPr>
                <w:sz w:val="20"/>
                <w:szCs w:val="20"/>
              </w:rPr>
              <w:t>The number of votes required to achieve a majority if everyone who could be present was actually present, whether they are there or not.  For instance, if a committee has 11 members, the absolute majority would be 6 regardless of how many members were actually present.</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Casting Vote</w:t>
            </w:r>
          </w:p>
        </w:tc>
        <w:tc>
          <w:tcPr>
            <w:tcW w:w="5306" w:type="dxa"/>
          </w:tcPr>
          <w:p w:rsidR="00965C58" w:rsidRDefault="00965C58" w:rsidP="00E25A59">
            <w:pPr>
              <w:rPr>
                <w:sz w:val="20"/>
                <w:szCs w:val="20"/>
              </w:rPr>
            </w:pPr>
            <w:r>
              <w:rPr>
                <w:sz w:val="20"/>
                <w:szCs w:val="20"/>
              </w:rPr>
              <w:t>The extra (or second) vote given to the Chair of a meeting in some rules when the vote is tied.  A wise chairperson will always exercise the casting vote to preserve the status quo.</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Chair</w:t>
            </w:r>
          </w:p>
        </w:tc>
        <w:tc>
          <w:tcPr>
            <w:tcW w:w="5306" w:type="dxa"/>
          </w:tcPr>
          <w:p w:rsidR="00965C58" w:rsidRDefault="00965C58" w:rsidP="00E25A59">
            <w:pPr>
              <w:rPr>
                <w:sz w:val="20"/>
                <w:szCs w:val="20"/>
              </w:rPr>
            </w:pPr>
            <w:r>
              <w:rPr>
                <w:sz w:val="20"/>
                <w:szCs w:val="20"/>
              </w:rPr>
              <w:t xml:space="preserve">The person who chairs the meeting.  May be called Chairperson, Chairman, </w:t>
            </w:r>
            <w:bookmarkStart w:id="0" w:name="_GoBack"/>
            <w:bookmarkEnd w:id="0"/>
            <w:r w:rsidR="000350A5">
              <w:rPr>
                <w:sz w:val="20"/>
                <w:szCs w:val="20"/>
              </w:rPr>
              <w:t>and Convenor</w:t>
            </w:r>
            <w:r>
              <w:rPr>
                <w:sz w:val="20"/>
                <w:szCs w:val="20"/>
              </w:rPr>
              <w:t>.  ECU uses “Chair”.</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Chair pro tem</w:t>
            </w:r>
          </w:p>
        </w:tc>
        <w:tc>
          <w:tcPr>
            <w:tcW w:w="5306" w:type="dxa"/>
          </w:tcPr>
          <w:p w:rsidR="00965C58" w:rsidRDefault="00965C58" w:rsidP="00CA4EDA">
            <w:pPr>
              <w:rPr>
                <w:sz w:val="20"/>
                <w:szCs w:val="20"/>
              </w:rPr>
            </w:pPr>
            <w:r>
              <w:rPr>
                <w:sz w:val="20"/>
                <w:szCs w:val="20"/>
              </w:rPr>
              <w:t>A person is in the chair temporarily or for the time being.</w:t>
            </w:r>
          </w:p>
          <w:p w:rsidR="00965C58" w:rsidRDefault="00965C58" w:rsidP="00CA4EDA">
            <w:pPr>
              <w:rPr>
                <w:sz w:val="20"/>
                <w:szCs w:val="20"/>
              </w:rPr>
            </w:pPr>
          </w:p>
        </w:tc>
      </w:tr>
      <w:tr w:rsidR="00965C58" w:rsidRPr="00E25A59" w:rsidTr="00E25A59">
        <w:tc>
          <w:tcPr>
            <w:tcW w:w="3936" w:type="dxa"/>
          </w:tcPr>
          <w:p w:rsidR="00965C58" w:rsidRDefault="00965C58" w:rsidP="00CA4EDA">
            <w:pPr>
              <w:rPr>
                <w:b/>
                <w:i/>
                <w:sz w:val="20"/>
                <w:szCs w:val="20"/>
              </w:rPr>
            </w:pPr>
            <w:r>
              <w:rPr>
                <w:b/>
                <w:i/>
                <w:sz w:val="20"/>
                <w:szCs w:val="20"/>
              </w:rPr>
              <w:t>Conflict of Interest / Pecuniary Interest</w:t>
            </w:r>
          </w:p>
        </w:tc>
        <w:tc>
          <w:tcPr>
            <w:tcW w:w="5306" w:type="dxa"/>
          </w:tcPr>
          <w:p w:rsidR="00965C58" w:rsidRPr="00310138" w:rsidRDefault="00965C58" w:rsidP="00E25A59">
            <w:pPr>
              <w:rPr>
                <w:b/>
                <w:i/>
                <w:sz w:val="20"/>
                <w:szCs w:val="20"/>
              </w:rPr>
            </w:pPr>
            <w:r w:rsidRPr="00310138">
              <w:rPr>
                <w:b/>
                <w:i/>
                <w:sz w:val="20"/>
                <w:szCs w:val="20"/>
              </w:rPr>
              <w:t>Conflict of Interest:</w:t>
            </w:r>
          </w:p>
          <w:p w:rsidR="00965C58" w:rsidRDefault="008815EC" w:rsidP="00E25A59">
            <w:pPr>
              <w:rPr>
                <w:sz w:val="20"/>
                <w:szCs w:val="20"/>
              </w:rPr>
            </w:pPr>
            <w:r>
              <w:rPr>
                <w:sz w:val="20"/>
                <w:szCs w:val="20"/>
              </w:rPr>
              <w:t>If an individual has an interest, but not necessarily financial, then that person is generally determined to have a conflict of interest.</w:t>
            </w:r>
          </w:p>
          <w:p w:rsidR="00965C58" w:rsidRPr="00310138" w:rsidRDefault="00965C58" w:rsidP="00E25A59">
            <w:pPr>
              <w:rPr>
                <w:b/>
                <w:i/>
                <w:sz w:val="20"/>
                <w:szCs w:val="20"/>
              </w:rPr>
            </w:pPr>
            <w:r w:rsidRPr="00310138">
              <w:rPr>
                <w:b/>
                <w:i/>
                <w:sz w:val="20"/>
                <w:szCs w:val="20"/>
              </w:rPr>
              <w:t>Pecuniary Interest:</w:t>
            </w:r>
          </w:p>
          <w:p w:rsidR="00965C58" w:rsidRDefault="008815EC" w:rsidP="00E25A59">
            <w:pPr>
              <w:rPr>
                <w:sz w:val="20"/>
                <w:szCs w:val="20"/>
              </w:rPr>
            </w:pPr>
            <w:r>
              <w:rPr>
                <w:sz w:val="20"/>
                <w:szCs w:val="20"/>
              </w:rPr>
              <w:t>If an individual has an interest in a decision which will have a financial impact on that individual (or those close to him/her) then the individual can be determined to have a pecuniary interest.</w:t>
            </w:r>
          </w:p>
          <w:p w:rsidR="008815EC" w:rsidRDefault="008815EC"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Constitution</w:t>
            </w:r>
          </w:p>
        </w:tc>
        <w:tc>
          <w:tcPr>
            <w:tcW w:w="5306" w:type="dxa"/>
          </w:tcPr>
          <w:p w:rsidR="00965C58" w:rsidRDefault="00965C58" w:rsidP="00E25A59">
            <w:pPr>
              <w:rPr>
                <w:sz w:val="20"/>
                <w:szCs w:val="20"/>
              </w:rPr>
            </w:pPr>
            <w:r>
              <w:rPr>
                <w:sz w:val="20"/>
                <w:szCs w:val="20"/>
              </w:rPr>
              <w:t>The set of rules about how the organisation runs.  The constitution may also have sets of by-laws or Standing Orders which detail the way certain aspects of the organisation are run, such as the meetings.</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Deputy Chair</w:t>
            </w:r>
          </w:p>
        </w:tc>
        <w:tc>
          <w:tcPr>
            <w:tcW w:w="5306" w:type="dxa"/>
          </w:tcPr>
          <w:p w:rsidR="003D610B" w:rsidRDefault="003D610B" w:rsidP="00E25A59">
            <w:pPr>
              <w:rPr>
                <w:sz w:val="20"/>
                <w:szCs w:val="20"/>
              </w:rPr>
            </w:pPr>
            <w:r>
              <w:rPr>
                <w:sz w:val="20"/>
                <w:szCs w:val="20"/>
              </w:rPr>
              <w:t xml:space="preserve">A Deputy Chair is chosen to assist the Chair and to serve as Chair in the absence of the Chair, or when a motion involving the Chair is being discussed. </w:t>
            </w:r>
          </w:p>
          <w:p w:rsidR="00965C58" w:rsidRDefault="003D610B" w:rsidP="00E25A59">
            <w:pPr>
              <w:rPr>
                <w:sz w:val="20"/>
                <w:szCs w:val="20"/>
              </w:rPr>
            </w:pPr>
            <w:r>
              <w:rPr>
                <w:sz w:val="20"/>
                <w:szCs w:val="20"/>
              </w:rPr>
              <w:t xml:space="preserve"> </w:t>
            </w:r>
          </w:p>
        </w:tc>
      </w:tr>
      <w:tr w:rsidR="00965C58" w:rsidRPr="00E25A59" w:rsidTr="00E25A59">
        <w:tc>
          <w:tcPr>
            <w:tcW w:w="3936" w:type="dxa"/>
          </w:tcPr>
          <w:p w:rsidR="00965C58" w:rsidRPr="00E25A59" w:rsidRDefault="00965C58" w:rsidP="00E25A59">
            <w:pPr>
              <w:rPr>
                <w:b/>
                <w:i/>
                <w:sz w:val="20"/>
                <w:szCs w:val="20"/>
              </w:rPr>
            </w:pPr>
            <w:r>
              <w:rPr>
                <w:b/>
                <w:i/>
                <w:sz w:val="20"/>
                <w:szCs w:val="20"/>
              </w:rPr>
              <w:t>Dilatory Motion</w:t>
            </w:r>
          </w:p>
        </w:tc>
        <w:tc>
          <w:tcPr>
            <w:tcW w:w="5306" w:type="dxa"/>
          </w:tcPr>
          <w:p w:rsidR="00965C58" w:rsidRDefault="00965C58" w:rsidP="00E25A59">
            <w:pPr>
              <w:rPr>
                <w:sz w:val="20"/>
                <w:szCs w:val="20"/>
              </w:rPr>
            </w:pPr>
            <w:r>
              <w:rPr>
                <w:sz w:val="20"/>
                <w:szCs w:val="20"/>
              </w:rPr>
              <w:t>A motion moved to delay resolution on a motion or to prevent a decision being made</w:t>
            </w:r>
            <w:r w:rsidR="008815EC">
              <w:rPr>
                <w:sz w:val="20"/>
                <w:szCs w:val="20"/>
              </w:rPr>
              <w:t>.</w:t>
            </w:r>
          </w:p>
          <w:p w:rsidR="008815EC" w:rsidRDefault="008815EC"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Ex officio</w:t>
            </w:r>
          </w:p>
        </w:tc>
        <w:tc>
          <w:tcPr>
            <w:tcW w:w="5306" w:type="dxa"/>
          </w:tcPr>
          <w:p w:rsidR="00965C58" w:rsidRDefault="00965C58" w:rsidP="005D6929">
            <w:pPr>
              <w:rPr>
                <w:sz w:val="20"/>
                <w:szCs w:val="20"/>
              </w:rPr>
            </w:pPr>
            <w:r>
              <w:rPr>
                <w:sz w:val="20"/>
                <w:szCs w:val="20"/>
              </w:rPr>
              <w:t>Means “by virtue of his or her office” and that a person is present at a meeting or a member of a committee or board because they hold a particular office in the organisation.  For example, Chair of Academic Board; Chair of the Resources Committee, etc.</w:t>
            </w:r>
          </w:p>
          <w:p w:rsidR="00965C58" w:rsidRDefault="00965C58" w:rsidP="005D6929">
            <w:pPr>
              <w:rPr>
                <w:sz w:val="20"/>
                <w:szCs w:val="20"/>
              </w:rPr>
            </w:pPr>
          </w:p>
        </w:tc>
      </w:tr>
      <w:tr w:rsidR="00965C58" w:rsidRPr="00E25A59" w:rsidTr="00E25A59">
        <w:tc>
          <w:tcPr>
            <w:tcW w:w="3936" w:type="dxa"/>
          </w:tcPr>
          <w:p w:rsidR="00965C58" w:rsidRPr="00E25A59" w:rsidRDefault="00965C58" w:rsidP="00E25A59">
            <w:pPr>
              <w:rPr>
                <w:b/>
                <w:i/>
                <w:sz w:val="20"/>
                <w:szCs w:val="20"/>
              </w:rPr>
            </w:pPr>
            <w:r w:rsidRPr="00E25A59">
              <w:rPr>
                <w:b/>
                <w:i/>
                <w:sz w:val="20"/>
                <w:szCs w:val="20"/>
              </w:rPr>
              <w:t>In Camera</w:t>
            </w:r>
          </w:p>
        </w:tc>
        <w:tc>
          <w:tcPr>
            <w:tcW w:w="5306" w:type="dxa"/>
          </w:tcPr>
          <w:p w:rsidR="00965C58" w:rsidRDefault="00965C58" w:rsidP="005D6929">
            <w:pPr>
              <w:rPr>
                <w:sz w:val="20"/>
                <w:szCs w:val="20"/>
              </w:rPr>
            </w:pPr>
            <w:r>
              <w:rPr>
                <w:sz w:val="20"/>
                <w:szCs w:val="20"/>
              </w:rPr>
              <w:t>Means “privately, not in public”.  Used to refer to discussions where people who are not members of the group (committee or board) are excluded from the room.</w:t>
            </w:r>
          </w:p>
          <w:p w:rsidR="00A5338E" w:rsidRDefault="00A5338E" w:rsidP="005D6929">
            <w:pPr>
              <w:rPr>
                <w:sz w:val="20"/>
                <w:szCs w:val="20"/>
              </w:rPr>
            </w:pPr>
          </w:p>
        </w:tc>
      </w:tr>
      <w:tr w:rsidR="00965C58" w:rsidRPr="00E25A59" w:rsidTr="00E25A59">
        <w:tc>
          <w:tcPr>
            <w:tcW w:w="3936" w:type="dxa"/>
          </w:tcPr>
          <w:p w:rsidR="00965C58" w:rsidRPr="00E25A59" w:rsidRDefault="00965C58" w:rsidP="00E25A59">
            <w:pPr>
              <w:rPr>
                <w:b/>
                <w:i/>
                <w:sz w:val="20"/>
                <w:szCs w:val="20"/>
              </w:rPr>
            </w:pPr>
            <w:r w:rsidRPr="00E25A59">
              <w:rPr>
                <w:b/>
                <w:i/>
                <w:sz w:val="20"/>
                <w:szCs w:val="20"/>
              </w:rPr>
              <w:t>Motion</w:t>
            </w:r>
          </w:p>
        </w:tc>
        <w:tc>
          <w:tcPr>
            <w:tcW w:w="5306" w:type="dxa"/>
          </w:tcPr>
          <w:p w:rsidR="00965C58" w:rsidRDefault="003D610B" w:rsidP="00E25A59">
            <w:pPr>
              <w:rPr>
                <w:sz w:val="20"/>
                <w:szCs w:val="20"/>
              </w:rPr>
            </w:pPr>
            <w:r>
              <w:rPr>
                <w:sz w:val="20"/>
                <w:szCs w:val="20"/>
              </w:rPr>
              <w:t>Any proposal submitted for discussion and subsequent decision by voting.  Motions should be worded in the affirmative.</w:t>
            </w:r>
          </w:p>
          <w:p w:rsidR="006C13A0" w:rsidRDefault="006C13A0" w:rsidP="00E25A59">
            <w:pPr>
              <w:rPr>
                <w:sz w:val="20"/>
                <w:szCs w:val="20"/>
              </w:rPr>
            </w:pPr>
          </w:p>
        </w:tc>
      </w:tr>
      <w:tr w:rsidR="003D610B" w:rsidRPr="00E25A59" w:rsidTr="00E25A59">
        <w:tc>
          <w:tcPr>
            <w:tcW w:w="3936" w:type="dxa"/>
          </w:tcPr>
          <w:p w:rsidR="003D610B" w:rsidRPr="00E25A59" w:rsidRDefault="003D610B" w:rsidP="00E25A59">
            <w:pPr>
              <w:rPr>
                <w:b/>
                <w:i/>
                <w:sz w:val="20"/>
                <w:szCs w:val="20"/>
              </w:rPr>
            </w:pPr>
            <w:r>
              <w:rPr>
                <w:b/>
                <w:i/>
                <w:sz w:val="20"/>
                <w:szCs w:val="20"/>
              </w:rPr>
              <w:t>Nominate</w:t>
            </w:r>
          </w:p>
        </w:tc>
        <w:tc>
          <w:tcPr>
            <w:tcW w:w="5306" w:type="dxa"/>
          </w:tcPr>
          <w:p w:rsidR="003D610B" w:rsidRDefault="003D610B" w:rsidP="00E25A59">
            <w:pPr>
              <w:rPr>
                <w:sz w:val="20"/>
                <w:szCs w:val="20"/>
              </w:rPr>
            </w:pPr>
            <w:r>
              <w:rPr>
                <w:sz w:val="20"/>
                <w:szCs w:val="20"/>
              </w:rPr>
              <w:t>Propose for election.</w:t>
            </w:r>
          </w:p>
          <w:p w:rsidR="003D610B" w:rsidRDefault="003D610B"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Other Business</w:t>
            </w:r>
          </w:p>
        </w:tc>
        <w:tc>
          <w:tcPr>
            <w:tcW w:w="5306" w:type="dxa"/>
          </w:tcPr>
          <w:p w:rsidR="00965C58" w:rsidRDefault="00965C58" w:rsidP="00E25A59">
            <w:pPr>
              <w:rPr>
                <w:sz w:val="20"/>
                <w:szCs w:val="20"/>
              </w:rPr>
            </w:pPr>
            <w:r>
              <w:rPr>
                <w:sz w:val="20"/>
                <w:szCs w:val="20"/>
              </w:rPr>
              <w:t>A term often used for “General Business” or business for which notice has not been received.</w:t>
            </w:r>
          </w:p>
          <w:p w:rsidR="00965C58" w:rsidRDefault="00965C58" w:rsidP="00E25A59">
            <w:pPr>
              <w:rPr>
                <w:sz w:val="20"/>
                <w:szCs w:val="20"/>
              </w:rPr>
            </w:pPr>
          </w:p>
        </w:tc>
      </w:tr>
      <w:tr w:rsidR="00965C58" w:rsidRPr="00E25A59" w:rsidTr="00E25A59">
        <w:tc>
          <w:tcPr>
            <w:tcW w:w="3936" w:type="dxa"/>
          </w:tcPr>
          <w:p w:rsidR="00965C58" w:rsidRPr="00E25A59" w:rsidRDefault="00965C58" w:rsidP="00E25A59">
            <w:pPr>
              <w:rPr>
                <w:b/>
                <w:i/>
                <w:sz w:val="20"/>
                <w:szCs w:val="20"/>
              </w:rPr>
            </w:pPr>
            <w:r>
              <w:rPr>
                <w:b/>
                <w:i/>
                <w:sz w:val="20"/>
                <w:szCs w:val="20"/>
              </w:rPr>
              <w:lastRenderedPageBreak/>
              <w:t>Point of Order</w:t>
            </w:r>
          </w:p>
        </w:tc>
        <w:tc>
          <w:tcPr>
            <w:tcW w:w="5306" w:type="dxa"/>
          </w:tcPr>
          <w:p w:rsidR="00965C58" w:rsidRDefault="00965C58" w:rsidP="00E25A59">
            <w:pPr>
              <w:rPr>
                <w:sz w:val="20"/>
                <w:szCs w:val="20"/>
              </w:rPr>
            </w:pPr>
            <w:r>
              <w:rPr>
                <w:sz w:val="20"/>
                <w:szCs w:val="20"/>
              </w:rPr>
              <w:t>Drawing a meeting’s attention to a breach or irregularity in the proceedings.</w:t>
            </w:r>
          </w:p>
          <w:p w:rsidR="006C13A0" w:rsidRDefault="006C13A0"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Procedural Motion</w:t>
            </w:r>
          </w:p>
        </w:tc>
        <w:tc>
          <w:tcPr>
            <w:tcW w:w="5306" w:type="dxa"/>
          </w:tcPr>
          <w:p w:rsidR="00965C58" w:rsidRDefault="00965C58" w:rsidP="00E25A59">
            <w:pPr>
              <w:rPr>
                <w:sz w:val="20"/>
                <w:szCs w:val="20"/>
              </w:rPr>
            </w:pPr>
            <w:r>
              <w:rPr>
                <w:sz w:val="20"/>
                <w:szCs w:val="20"/>
              </w:rPr>
              <w:t>A motion which is used to decide on a particular procedure within a meeting.  Sometimes called a formal motion.</w:t>
            </w:r>
          </w:p>
          <w:p w:rsidR="00965C58" w:rsidRDefault="00965C58" w:rsidP="00E25A59">
            <w:pPr>
              <w:rPr>
                <w:sz w:val="20"/>
                <w:szCs w:val="20"/>
              </w:rPr>
            </w:pPr>
          </w:p>
        </w:tc>
      </w:tr>
      <w:tr w:rsidR="003D610B" w:rsidRPr="00E25A59" w:rsidTr="00E25A59">
        <w:tc>
          <w:tcPr>
            <w:tcW w:w="3936" w:type="dxa"/>
          </w:tcPr>
          <w:p w:rsidR="003D610B" w:rsidRDefault="003D610B" w:rsidP="00E25A59">
            <w:pPr>
              <w:rPr>
                <w:b/>
                <w:i/>
                <w:sz w:val="20"/>
                <w:szCs w:val="20"/>
              </w:rPr>
            </w:pPr>
            <w:r>
              <w:rPr>
                <w:b/>
                <w:i/>
                <w:sz w:val="20"/>
                <w:szCs w:val="20"/>
              </w:rPr>
              <w:t>Proxy</w:t>
            </w:r>
          </w:p>
        </w:tc>
        <w:tc>
          <w:tcPr>
            <w:tcW w:w="5306" w:type="dxa"/>
          </w:tcPr>
          <w:p w:rsidR="003D610B" w:rsidRDefault="003D610B" w:rsidP="00E25A59">
            <w:pPr>
              <w:rPr>
                <w:sz w:val="20"/>
                <w:szCs w:val="20"/>
              </w:rPr>
            </w:pPr>
            <w:r>
              <w:rPr>
                <w:sz w:val="20"/>
                <w:szCs w:val="20"/>
              </w:rPr>
              <w:t>Acting by a deputy or other representative.</w:t>
            </w:r>
          </w:p>
          <w:p w:rsidR="008815EC" w:rsidRDefault="008815EC" w:rsidP="00E25A59">
            <w:pPr>
              <w:rPr>
                <w:sz w:val="20"/>
                <w:szCs w:val="20"/>
              </w:rPr>
            </w:pPr>
          </w:p>
        </w:tc>
      </w:tr>
      <w:tr w:rsidR="00965C58" w:rsidRPr="00E25A59" w:rsidTr="00E25A59">
        <w:tc>
          <w:tcPr>
            <w:tcW w:w="3936" w:type="dxa"/>
          </w:tcPr>
          <w:p w:rsidR="00965C58" w:rsidRPr="00E25A59" w:rsidRDefault="00965C58" w:rsidP="00E25A59">
            <w:pPr>
              <w:rPr>
                <w:b/>
                <w:i/>
                <w:sz w:val="20"/>
                <w:szCs w:val="20"/>
              </w:rPr>
            </w:pPr>
            <w:r w:rsidRPr="00E25A59">
              <w:rPr>
                <w:b/>
                <w:i/>
                <w:sz w:val="20"/>
                <w:szCs w:val="20"/>
              </w:rPr>
              <w:t>Quorum</w:t>
            </w:r>
          </w:p>
        </w:tc>
        <w:tc>
          <w:tcPr>
            <w:tcW w:w="5306" w:type="dxa"/>
          </w:tcPr>
          <w:p w:rsidR="00965C58" w:rsidRDefault="00965C58" w:rsidP="00E25A59">
            <w:pPr>
              <w:rPr>
                <w:sz w:val="20"/>
                <w:szCs w:val="20"/>
              </w:rPr>
            </w:pPr>
            <w:r>
              <w:rPr>
                <w:sz w:val="20"/>
                <w:szCs w:val="20"/>
              </w:rPr>
              <w:t xml:space="preserve">The quorum of a meeting is the minimum number of people which is required for the meeting to transact business.  The actual figure will be in the organisation’s constitution or rules.  In the case of ECU committees and boards, it is 50% of the membership, </w:t>
            </w:r>
            <w:proofErr w:type="spellStart"/>
            <w:r>
              <w:rPr>
                <w:sz w:val="20"/>
                <w:szCs w:val="20"/>
              </w:rPr>
              <w:t>ie</w:t>
            </w:r>
            <w:proofErr w:type="spellEnd"/>
            <w:r>
              <w:rPr>
                <w:sz w:val="20"/>
                <w:szCs w:val="20"/>
              </w:rPr>
              <w:t xml:space="preserve">.  </w:t>
            </w:r>
            <w:proofErr w:type="gramStart"/>
            <w:r>
              <w:rPr>
                <w:sz w:val="20"/>
                <w:szCs w:val="20"/>
              </w:rPr>
              <w:t>if</w:t>
            </w:r>
            <w:proofErr w:type="gramEnd"/>
            <w:r>
              <w:rPr>
                <w:sz w:val="20"/>
                <w:szCs w:val="20"/>
              </w:rPr>
              <w:t xml:space="preserve"> there are 10 committee members, 5 are required to form a quorum; if a committee has 7 members, 4 will be required to form a quorum.</w:t>
            </w:r>
          </w:p>
          <w:p w:rsidR="00965C58" w:rsidRPr="00E25A59"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Resolution</w:t>
            </w:r>
          </w:p>
        </w:tc>
        <w:tc>
          <w:tcPr>
            <w:tcW w:w="5306" w:type="dxa"/>
          </w:tcPr>
          <w:p w:rsidR="00965C58" w:rsidRDefault="00965C58" w:rsidP="00E25A59">
            <w:pPr>
              <w:rPr>
                <w:sz w:val="20"/>
                <w:szCs w:val="20"/>
              </w:rPr>
            </w:pPr>
            <w:r>
              <w:rPr>
                <w:sz w:val="20"/>
                <w:szCs w:val="20"/>
              </w:rPr>
              <w:t>A term used to refer to a decision.  A motion once carried becomes a resolution.  The term, however, is often used in informal meetings or committee meetings where a decision is made without taking a formal vote.</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Returning Officer</w:t>
            </w:r>
          </w:p>
        </w:tc>
        <w:tc>
          <w:tcPr>
            <w:tcW w:w="5306" w:type="dxa"/>
          </w:tcPr>
          <w:p w:rsidR="00965C58" w:rsidRDefault="00965C58" w:rsidP="00E25A59">
            <w:pPr>
              <w:rPr>
                <w:sz w:val="20"/>
                <w:szCs w:val="20"/>
              </w:rPr>
            </w:pPr>
            <w:r>
              <w:rPr>
                <w:sz w:val="20"/>
                <w:szCs w:val="20"/>
              </w:rPr>
              <w:t>The person during the course of a ballot or poll, charged with the responsibility to announce the voting method, ensure eligibility of persons voting, collect votes, count or supervise counting of votes, and advise the result to the chair or make an announcement.</w:t>
            </w:r>
          </w:p>
          <w:p w:rsidR="003D610B" w:rsidRDefault="003D610B" w:rsidP="00E25A59">
            <w:pPr>
              <w:rPr>
                <w:sz w:val="20"/>
                <w:szCs w:val="20"/>
              </w:rPr>
            </w:pPr>
          </w:p>
        </w:tc>
      </w:tr>
      <w:tr w:rsidR="00965C58" w:rsidRPr="00E25A59" w:rsidTr="00E25A59">
        <w:tc>
          <w:tcPr>
            <w:tcW w:w="3936" w:type="dxa"/>
          </w:tcPr>
          <w:p w:rsidR="00965C58" w:rsidRPr="00E25A59" w:rsidRDefault="00965C58" w:rsidP="00E25A59">
            <w:pPr>
              <w:rPr>
                <w:b/>
                <w:i/>
                <w:sz w:val="20"/>
                <w:szCs w:val="20"/>
              </w:rPr>
            </w:pPr>
            <w:r>
              <w:rPr>
                <w:b/>
                <w:i/>
                <w:sz w:val="20"/>
                <w:szCs w:val="20"/>
              </w:rPr>
              <w:t>Sine Die</w:t>
            </w:r>
          </w:p>
        </w:tc>
        <w:tc>
          <w:tcPr>
            <w:tcW w:w="5306" w:type="dxa"/>
          </w:tcPr>
          <w:p w:rsidR="00965C58" w:rsidRDefault="00965C58" w:rsidP="00E25A59">
            <w:pPr>
              <w:rPr>
                <w:sz w:val="20"/>
                <w:szCs w:val="20"/>
              </w:rPr>
            </w:pPr>
            <w:r>
              <w:rPr>
                <w:sz w:val="20"/>
                <w:szCs w:val="20"/>
              </w:rPr>
              <w:t>Latin meaning “without a day being named” and is used when not detailing time and date and time of an adjournment.</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Standing orders</w:t>
            </w:r>
          </w:p>
        </w:tc>
        <w:tc>
          <w:tcPr>
            <w:tcW w:w="5306" w:type="dxa"/>
          </w:tcPr>
          <w:p w:rsidR="00965C58" w:rsidRDefault="00965C58" w:rsidP="00E25A59">
            <w:pPr>
              <w:rPr>
                <w:sz w:val="20"/>
                <w:szCs w:val="20"/>
              </w:rPr>
            </w:pPr>
            <w:r>
              <w:rPr>
                <w:sz w:val="20"/>
                <w:szCs w:val="20"/>
              </w:rPr>
              <w:t>The set of rules which detail how the meetings will run and often also how the organisation will administer itself.</w:t>
            </w:r>
          </w:p>
          <w:p w:rsidR="00965C58" w:rsidRDefault="00965C58"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Status Quo</w:t>
            </w:r>
          </w:p>
        </w:tc>
        <w:tc>
          <w:tcPr>
            <w:tcW w:w="5306" w:type="dxa"/>
          </w:tcPr>
          <w:p w:rsidR="00965C58" w:rsidRDefault="00965C58" w:rsidP="00E25A59">
            <w:pPr>
              <w:rPr>
                <w:sz w:val="20"/>
                <w:szCs w:val="20"/>
              </w:rPr>
            </w:pPr>
            <w:r>
              <w:rPr>
                <w:sz w:val="20"/>
                <w:szCs w:val="20"/>
              </w:rPr>
              <w:t xml:space="preserve">Means </w:t>
            </w:r>
            <w:r w:rsidR="00790C9C">
              <w:rPr>
                <w:sz w:val="20"/>
                <w:szCs w:val="20"/>
              </w:rPr>
              <w:t>“previous position” or “nothing changed”.  Often used in a tied vote so the status quo is maintained.  In other words, the previous position remains unchanged.</w:t>
            </w:r>
          </w:p>
          <w:p w:rsidR="00790C9C" w:rsidRDefault="00790C9C" w:rsidP="00E25A59">
            <w:pPr>
              <w:rPr>
                <w:sz w:val="20"/>
                <w:szCs w:val="20"/>
              </w:rPr>
            </w:pPr>
          </w:p>
        </w:tc>
      </w:tr>
      <w:tr w:rsidR="00965C58" w:rsidRPr="00E25A59" w:rsidTr="00E25A59">
        <w:tc>
          <w:tcPr>
            <w:tcW w:w="3936" w:type="dxa"/>
          </w:tcPr>
          <w:p w:rsidR="00965C58" w:rsidRDefault="00965C58" w:rsidP="00E25A59">
            <w:pPr>
              <w:rPr>
                <w:b/>
                <w:i/>
                <w:sz w:val="20"/>
                <w:szCs w:val="20"/>
              </w:rPr>
            </w:pPr>
            <w:r>
              <w:rPr>
                <w:b/>
                <w:i/>
                <w:sz w:val="20"/>
                <w:szCs w:val="20"/>
              </w:rPr>
              <w:t xml:space="preserve">Sub </w:t>
            </w:r>
            <w:proofErr w:type="spellStart"/>
            <w:r>
              <w:rPr>
                <w:b/>
                <w:i/>
                <w:sz w:val="20"/>
                <w:szCs w:val="20"/>
              </w:rPr>
              <w:t>Judice</w:t>
            </w:r>
            <w:proofErr w:type="spellEnd"/>
          </w:p>
        </w:tc>
        <w:tc>
          <w:tcPr>
            <w:tcW w:w="5306" w:type="dxa"/>
          </w:tcPr>
          <w:p w:rsidR="00965C58" w:rsidRDefault="00965C58" w:rsidP="00E25A59">
            <w:pPr>
              <w:rPr>
                <w:sz w:val="20"/>
                <w:szCs w:val="20"/>
              </w:rPr>
            </w:pPr>
            <w:r>
              <w:rPr>
                <w:sz w:val="20"/>
                <w:szCs w:val="20"/>
              </w:rPr>
              <w:t>A matter that is still under judicial consideration and is not yet decided.</w:t>
            </w:r>
          </w:p>
          <w:p w:rsidR="00965C58" w:rsidRDefault="00965C58" w:rsidP="00E25A59">
            <w:pPr>
              <w:rPr>
                <w:sz w:val="20"/>
                <w:szCs w:val="20"/>
              </w:rPr>
            </w:pPr>
          </w:p>
        </w:tc>
      </w:tr>
    </w:tbl>
    <w:p w:rsidR="0083333E" w:rsidRDefault="0083333E"/>
    <w:sectPr w:rsidR="0083333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D9" w:rsidRDefault="00851ED9" w:rsidP="00E25A59">
      <w:pPr>
        <w:spacing w:after="0" w:line="240" w:lineRule="auto"/>
      </w:pPr>
      <w:r>
        <w:separator/>
      </w:r>
    </w:p>
  </w:endnote>
  <w:endnote w:type="continuationSeparator" w:id="0">
    <w:p w:rsidR="00851ED9" w:rsidRDefault="00851ED9" w:rsidP="00E2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AF" w:rsidRPr="006C13A0" w:rsidRDefault="006C13A0" w:rsidP="006C13A0">
    <w:pPr>
      <w:pStyle w:val="Footer"/>
      <w:rPr>
        <w:sz w:val="18"/>
        <w:szCs w:val="18"/>
      </w:rPr>
    </w:pPr>
    <w:r w:rsidRPr="006C13A0">
      <w:rPr>
        <w:sz w:val="18"/>
        <w:szCs w:val="18"/>
      </w:rPr>
      <w:fldChar w:fldCharType="begin"/>
    </w:r>
    <w:r w:rsidRPr="006C13A0">
      <w:rPr>
        <w:sz w:val="18"/>
        <w:szCs w:val="18"/>
      </w:rPr>
      <w:instrText xml:space="preserve"> DATE  \@ "d MMMM yyyy"  \* MERGEFORMAT </w:instrText>
    </w:r>
    <w:r w:rsidRPr="006C13A0">
      <w:rPr>
        <w:sz w:val="18"/>
        <w:szCs w:val="18"/>
      </w:rPr>
      <w:fldChar w:fldCharType="separate"/>
    </w:r>
    <w:r w:rsidR="000350A5">
      <w:rPr>
        <w:noProof/>
        <w:sz w:val="18"/>
        <w:szCs w:val="18"/>
      </w:rPr>
      <w:t>29 April 2024</w:t>
    </w:r>
    <w:r w:rsidRPr="006C13A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D9" w:rsidRDefault="00851ED9" w:rsidP="00E25A59">
      <w:pPr>
        <w:spacing w:after="0" w:line="240" w:lineRule="auto"/>
      </w:pPr>
      <w:r>
        <w:separator/>
      </w:r>
    </w:p>
  </w:footnote>
  <w:footnote w:type="continuationSeparator" w:id="0">
    <w:p w:rsidR="00851ED9" w:rsidRDefault="00851ED9" w:rsidP="00E25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59" w:rsidRPr="00E25A59" w:rsidRDefault="00E25A59">
    <w:pPr>
      <w:pStyle w:val="HeaderEven"/>
      <w:rPr>
        <w:i/>
        <w:sz w:val="22"/>
        <w:szCs w:val="22"/>
      </w:rPr>
    </w:pPr>
    <w:r w:rsidRPr="00E25A59">
      <w:rPr>
        <w:i/>
        <w:sz w:val="22"/>
        <w:szCs w:val="22"/>
      </w:rPr>
      <w:t>Glossary – Meeting Terminology</w:t>
    </w:r>
  </w:p>
  <w:p w:rsidR="00E25A59" w:rsidRDefault="00E25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8E"/>
    <w:rsid w:val="000350A5"/>
    <w:rsid w:val="00310138"/>
    <w:rsid w:val="003D610B"/>
    <w:rsid w:val="005D6929"/>
    <w:rsid w:val="00624F70"/>
    <w:rsid w:val="006C13A0"/>
    <w:rsid w:val="00790C9C"/>
    <w:rsid w:val="007A535F"/>
    <w:rsid w:val="007C6D8E"/>
    <w:rsid w:val="0083333E"/>
    <w:rsid w:val="00851ED9"/>
    <w:rsid w:val="008815EC"/>
    <w:rsid w:val="00965C58"/>
    <w:rsid w:val="009A25AF"/>
    <w:rsid w:val="00A307E5"/>
    <w:rsid w:val="00A529AB"/>
    <w:rsid w:val="00A5338E"/>
    <w:rsid w:val="00B04087"/>
    <w:rsid w:val="00B437CA"/>
    <w:rsid w:val="00B715D2"/>
    <w:rsid w:val="00CA4EDA"/>
    <w:rsid w:val="00D52700"/>
    <w:rsid w:val="00E25A59"/>
    <w:rsid w:val="00FD0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7E54C-70A9-4CDF-9475-32C3C895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A59"/>
  </w:style>
  <w:style w:type="paragraph" w:styleId="Footer">
    <w:name w:val="footer"/>
    <w:basedOn w:val="Normal"/>
    <w:link w:val="FooterChar"/>
    <w:uiPriority w:val="99"/>
    <w:unhideWhenUsed/>
    <w:rsid w:val="00E25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A59"/>
  </w:style>
  <w:style w:type="paragraph" w:customStyle="1" w:styleId="HeaderEven">
    <w:name w:val="Header Even"/>
    <w:basedOn w:val="NoSpacing"/>
    <w:qFormat/>
    <w:rsid w:val="00E25A59"/>
    <w:pPr>
      <w:pBdr>
        <w:bottom w:val="single" w:sz="4" w:space="1" w:color="4F81BD" w:themeColor="accent1"/>
      </w:pBdr>
    </w:pPr>
    <w:rPr>
      <w:rFonts w:cs="Times New Roman"/>
      <w:b/>
      <w:color w:val="1F497D" w:themeColor="text2"/>
      <w:sz w:val="20"/>
      <w:szCs w:val="20"/>
      <w:lang w:val="en-US" w:eastAsia="ja-JP"/>
    </w:rPr>
  </w:style>
  <w:style w:type="paragraph" w:styleId="NoSpacing">
    <w:name w:val="No Spacing"/>
    <w:uiPriority w:val="1"/>
    <w:qFormat/>
    <w:rsid w:val="00E25A59"/>
    <w:pPr>
      <w:spacing w:after="0" w:line="240" w:lineRule="auto"/>
    </w:pPr>
  </w:style>
  <w:style w:type="paragraph" w:styleId="BalloonText">
    <w:name w:val="Balloon Text"/>
    <w:basedOn w:val="Normal"/>
    <w:link w:val="BalloonTextChar"/>
    <w:uiPriority w:val="99"/>
    <w:semiHidden/>
    <w:unhideWhenUsed/>
    <w:rsid w:val="00E25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A59"/>
    <w:rPr>
      <w:rFonts w:ascii="Tahoma" w:hAnsi="Tahoma" w:cs="Tahoma"/>
      <w:sz w:val="16"/>
      <w:szCs w:val="16"/>
    </w:rPr>
  </w:style>
  <w:style w:type="table" w:styleId="TableGrid">
    <w:name w:val="Table Grid"/>
    <w:basedOn w:val="TableNormal"/>
    <w:uiPriority w:val="59"/>
    <w:rsid w:val="00E25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Glossary - Meeting Terminology</vt:lpstr>
    </vt:vector>
  </TitlesOfParts>
  <Company>Microsoft</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 Meeting Terminology</dc:title>
  <dc:creator>Bartolomei</dc:creator>
  <cp:lastModifiedBy>DIU-DIE</cp:lastModifiedBy>
  <cp:revision>3</cp:revision>
  <cp:lastPrinted>2014-07-23T07:22:00Z</cp:lastPrinted>
  <dcterms:created xsi:type="dcterms:W3CDTF">2014-11-20T05:26:00Z</dcterms:created>
  <dcterms:modified xsi:type="dcterms:W3CDTF">2024-04-29T02:56:00Z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-243575210</vt:i4>
  </property>
  <property fmtid="{D5CDD505-2E9C-101B-9397-08002B2CF9AE}" pid="3" name="_NewReviewCycle">
    <vt:lpwstr/>
  </property>
  <property fmtid="{D5CDD505-2E9C-101B-9397-08002B2CF9AE}" pid="4" name="_EmailSubject">
    <vt:lpwstr>Committee Workshop</vt:lpwstr>
  </property>
  <property fmtid="{D5CDD505-2E9C-101B-9397-08002B2CF9AE}" pid="5" name="_AuthorEmail">
    <vt:lpwstr>j.bartolomei@ecu.edu.au</vt:lpwstr>
  </property>
  <property fmtid="{D5CDD505-2E9C-101B-9397-08002B2CF9AE}" pid="6" name="_AuthorEmailDisplayName">
    <vt:lpwstr>Janet BARTOLOMEI</vt:lpwstr>
  </property>
  <property fmtid="{D5CDD505-2E9C-101B-9397-08002B2CF9AE}" pid="7" name="_ReviewingToolsShownOnce">
    <vt:lpwstr/>
  </property>
</Properties>
</file>