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91" w:rsidRDefault="00482422">
      <w:pPr>
        <w:spacing w:after="31" w:line="265" w:lineRule="auto"/>
        <w:ind w:left="-5" w:hanging="10"/>
      </w:pPr>
      <w:proofErr w:type="spellStart"/>
      <w:r>
        <w:rPr>
          <w:sz w:val="26"/>
        </w:rPr>
        <w:t>Amrin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Akter</w:t>
      </w:r>
      <w:bookmarkStart w:id="0" w:name="_GoBack"/>
      <w:bookmarkEnd w:id="0"/>
      <w:proofErr w:type="spellEnd"/>
    </w:p>
    <w:p w:rsidR="008D4B91" w:rsidRDefault="00B67631">
      <w:pPr>
        <w:spacing w:after="31" w:line="265" w:lineRule="auto"/>
        <w:ind w:left="-5" w:hanging="10"/>
      </w:pPr>
      <w:r>
        <w:rPr>
          <w:sz w:val="26"/>
        </w:rPr>
        <w:t xml:space="preserve">Lecturer, Department of Law </w:t>
      </w:r>
    </w:p>
    <w:p w:rsidR="008D4B91" w:rsidRDefault="00B67631">
      <w:pPr>
        <w:spacing w:after="1171" w:line="265" w:lineRule="auto"/>
        <w:ind w:left="-5" w:hanging="10"/>
      </w:pPr>
      <w:r>
        <w:rPr>
          <w:sz w:val="26"/>
        </w:rPr>
        <w:t xml:space="preserve">Daffodil International University </w:t>
      </w:r>
    </w:p>
    <w:p w:rsidR="008D4B91" w:rsidRDefault="00B67631">
      <w:pPr>
        <w:spacing w:after="0" w:line="227" w:lineRule="auto"/>
        <w:jc w:val="center"/>
      </w:pPr>
      <w:r>
        <w:rPr>
          <w:color w:val="DC5821"/>
          <w:sz w:val="64"/>
        </w:rPr>
        <w:t xml:space="preserve">Constitutional Law of Bangladesh-II </w:t>
      </w:r>
    </w:p>
    <w:p w:rsidR="008D4B91" w:rsidRDefault="00B67631">
      <w:pPr>
        <w:spacing w:after="85"/>
        <w:ind w:left="10" w:right="11" w:hanging="10"/>
        <w:jc w:val="center"/>
      </w:pPr>
      <w:r>
        <w:rPr>
          <w:color w:val="5B422A"/>
          <w:sz w:val="36"/>
        </w:rPr>
        <w:t xml:space="preserve">LAW 215 </w:t>
      </w:r>
    </w:p>
    <w:p w:rsidR="008D4B91" w:rsidRDefault="00B67631">
      <w:pPr>
        <w:spacing w:after="0"/>
        <w:ind w:left="10" w:right="15" w:hanging="10"/>
        <w:jc w:val="center"/>
      </w:pPr>
      <w:r>
        <w:rPr>
          <w:color w:val="5B422A"/>
          <w:sz w:val="36"/>
        </w:rPr>
        <w:t xml:space="preserve">Lesson Plan </w:t>
      </w:r>
    </w:p>
    <w:tbl>
      <w:tblPr>
        <w:tblStyle w:val="TableGrid"/>
        <w:tblW w:w="9020" w:type="dxa"/>
        <w:tblInd w:w="0" w:type="dxa"/>
        <w:tblCellMar>
          <w:top w:w="62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7242"/>
      </w:tblGrid>
      <w:tr w:rsidR="008D4B91">
        <w:trPr>
          <w:trHeight w:val="448"/>
        </w:trPr>
        <w:tc>
          <w:tcPr>
            <w:tcW w:w="1778" w:type="dxa"/>
            <w:tcBorders>
              <w:top w:val="nil"/>
              <w:left w:val="nil"/>
              <w:bottom w:val="single" w:sz="8" w:space="0" w:color="99948E"/>
              <w:right w:val="nil"/>
            </w:tcBorders>
            <w:shd w:val="clear" w:color="auto" w:fill="FCEDD1"/>
          </w:tcPr>
          <w:p w:rsidR="008D4B91" w:rsidRDefault="008D4B91"/>
        </w:tc>
        <w:tc>
          <w:tcPr>
            <w:tcW w:w="7242" w:type="dxa"/>
            <w:tcBorders>
              <w:top w:val="nil"/>
              <w:left w:val="nil"/>
              <w:bottom w:val="single" w:sz="8" w:space="0" w:color="99948E"/>
              <w:right w:val="nil"/>
            </w:tcBorders>
            <w:shd w:val="clear" w:color="auto" w:fill="FCEDD1"/>
          </w:tcPr>
          <w:p w:rsidR="008D4B91" w:rsidRDefault="008D4B91"/>
        </w:tc>
      </w:tr>
      <w:tr w:rsidR="008D4B91">
        <w:trPr>
          <w:trHeight w:val="448"/>
        </w:trPr>
        <w:tc>
          <w:tcPr>
            <w:tcW w:w="1778" w:type="dxa"/>
            <w:vMerge w:val="restart"/>
            <w:tcBorders>
              <w:top w:val="single" w:sz="8" w:space="0" w:color="99948E"/>
              <w:left w:val="nil"/>
              <w:bottom w:val="nil"/>
              <w:right w:val="single" w:sz="8" w:space="0" w:color="99948E"/>
            </w:tcBorders>
            <w:shd w:val="clear" w:color="auto" w:fill="FCEDD1"/>
          </w:tcPr>
          <w:p w:rsidR="008D4B91" w:rsidRDefault="00B67631">
            <w:pPr>
              <w:spacing w:after="20" w:line="433" w:lineRule="auto"/>
              <w:ind w:right="12"/>
            </w:pPr>
            <w:r>
              <w:rPr>
                <w:b/>
                <w:color w:val="434343"/>
                <w:sz w:val="20"/>
              </w:rPr>
              <w:t>Lecture 1</w:t>
            </w:r>
            <w:r w:rsidR="00482422">
              <w:rPr>
                <w:b/>
                <w:color w:val="434343"/>
                <w:sz w:val="20"/>
              </w:rPr>
              <w:t>&amp;2 Lecture 3&amp;4 Lecture 5&amp;7</w:t>
            </w:r>
          </w:p>
          <w:p w:rsidR="00482422" w:rsidRDefault="00482422">
            <w:pPr>
              <w:spacing w:after="20" w:line="433" w:lineRule="auto"/>
              <w:ind w:right="12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6&amp;7</w:t>
            </w:r>
          </w:p>
          <w:p w:rsidR="00482422" w:rsidRDefault="00482422">
            <w:pPr>
              <w:spacing w:after="20" w:line="433" w:lineRule="auto"/>
              <w:ind w:right="12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 xml:space="preserve"> Lecture 7&amp;8</w:t>
            </w:r>
          </w:p>
          <w:p w:rsidR="008D4B91" w:rsidRDefault="00482422">
            <w:pPr>
              <w:spacing w:after="20" w:line="433" w:lineRule="auto"/>
              <w:ind w:right="12"/>
            </w:pPr>
            <w:r>
              <w:rPr>
                <w:b/>
                <w:color w:val="434343"/>
                <w:sz w:val="20"/>
              </w:rPr>
              <w:t xml:space="preserve"> Lecture 9,10</w:t>
            </w:r>
          </w:p>
          <w:p w:rsidR="00482422" w:rsidRDefault="00482422">
            <w:pPr>
              <w:spacing w:after="20" w:line="433" w:lineRule="auto"/>
              <w:ind w:right="12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11</w:t>
            </w:r>
          </w:p>
          <w:p w:rsidR="008D4B91" w:rsidRDefault="00482422">
            <w:pPr>
              <w:spacing w:after="20" w:line="433" w:lineRule="auto"/>
              <w:ind w:right="12"/>
            </w:pPr>
            <w:r>
              <w:rPr>
                <w:b/>
                <w:color w:val="434343"/>
                <w:sz w:val="20"/>
              </w:rPr>
              <w:t>Lecture 13,14</w:t>
            </w:r>
          </w:p>
          <w:p w:rsidR="008D4B91" w:rsidRDefault="00482422">
            <w:pPr>
              <w:spacing w:after="176"/>
            </w:pPr>
            <w:r>
              <w:rPr>
                <w:b/>
                <w:color w:val="434343"/>
                <w:sz w:val="20"/>
              </w:rPr>
              <w:t>Lecture 15,16</w:t>
            </w:r>
          </w:p>
          <w:p w:rsidR="008D4B91" w:rsidRDefault="00482422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>Lecture 17&amp;18 Lecture 19,20</w:t>
            </w:r>
          </w:p>
          <w:p w:rsidR="00482422" w:rsidRDefault="00482422">
            <w:pPr>
              <w:spacing w:after="20" w:line="433" w:lineRule="auto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21,22</w:t>
            </w:r>
          </w:p>
          <w:p w:rsidR="008D4B91" w:rsidRDefault="00482422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>Lecture 2</w:t>
            </w:r>
            <w:r w:rsidR="00B67631">
              <w:rPr>
                <w:b/>
                <w:color w:val="434343"/>
                <w:sz w:val="20"/>
              </w:rPr>
              <w:t>3</w:t>
            </w:r>
            <w:r>
              <w:rPr>
                <w:b/>
                <w:color w:val="434343"/>
                <w:sz w:val="20"/>
              </w:rPr>
              <w:t xml:space="preserve"> &amp;24</w:t>
            </w:r>
          </w:p>
          <w:p w:rsidR="00482422" w:rsidRDefault="00B67631">
            <w:pPr>
              <w:spacing w:after="20" w:line="433" w:lineRule="auto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14</w:t>
            </w:r>
          </w:p>
          <w:p w:rsidR="008D4B91" w:rsidRDefault="00482422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 xml:space="preserve"> Lecture 25&amp;26 Lecture 27,28</w:t>
            </w:r>
          </w:p>
          <w:p w:rsidR="008D4B91" w:rsidRDefault="00482422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 xml:space="preserve">Lecture </w:t>
            </w:r>
            <w:r w:rsidR="00B67631">
              <w:rPr>
                <w:b/>
                <w:color w:val="434343"/>
                <w:sz w:val="20"/>
              </w:rPr>
              <w:t>29&amp;30 Lecture 31,32</w:t>
            </w:r>
          </w:p>
          <w:p w:rsidR="008D4B91" w:rsidRDefault="00B67631">
            <w:pPr>
              <w:spacing w:after="0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33, 34</w:t>
            </w:r>
          </w:p>
          <w:p w:rsidR="00B67631" w:rsidRDefault="00B67631">
            <w:pPr>
              <w:spacing w:after="0"/>
              <w:rPr>
                <w:b/>
                <w:color w:val="434343"/>
                <w:sz w:val="20"/>
              </w:rPr>
            </w:pPr>
          </w:p>
          <w:p w:rsidR="00B67631" w:rsidRDefault="00B67631">
            <w:pPr>
              <w:spacing w:after="0"/>
            </w:pPr>
            <w:r>
              <w:rPr>
                <w:b/>
                <w:color w:val="434343"/>
                <w:sz w:val="20"/>
              </w:rPr>
              <w:t>Lecture 35</w:t>
            </w:r>
          </w:p>
        </w:tc>
        <w:tc>
          <w:tcPr>
            <w:tcW w:w="7242" w:type="dxa"/>
            <w:tcBorders>
              <w:top w:val="single" w:sz="8" w:space="0" w:color="99948E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Martial Law &amp; Constitutional Supremacy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Supreme Court of Bangladesh: Establishment, Appointment &amp; Functioning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Supreme Court of Bangladesh: Jurisdictions, Powers and Functions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Writs</w:t>
            </w:r>
            <w:r w:rsidR="00482422">
              <w:rPr>
                <w:color w:val="434343"/>
                <w:sz w:val="20"/>
              </w:rPr>
              <w:t xml:space="preserve"> And PIL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482422">
            <w:pPr>
              <w:spacing w:after="0"/>
              <w:ind w:left="2"/>
            </w:pPr>
            <w:r>
              <w:rPr>
                <w:color w:val="434343"/>
                <w:sz w:val="20"/>
              </w:rPr>
              <w:t xml:space="preserve">Ordinance making power 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Quiz 1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Judicial Review</w:t>
            </w:r>
            <w:r w:rsidR="00482422">
              <w:rPr>
                <w:color w:val="434343"/>
                <w:sz w:val="20"/>
              </w:rPr>
              <w:t xml:space="preserve"> in Bangladesh 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Separation of Powers</w:t>
            </w:r>
            <w:r w:rsidR="00482422">
              <w:rPr>
                <w:color w:val="434343"/>
                <w:sz w:val="20"/>
              </w:rPr>
              <w:t xml:space="preserve"> &amp; Check and balance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Independence of Judiciary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Importance of Independence of Judiciary</w:t>
            </w:r>
            <w:r w:rsidR="00482422">
              <w:rPr>
                <w:color w:val="434343"/>
                <w:sz w:val="20"/>
              </w:rPr>
              <w:t xml:space="preserve"> in Bangladesh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Review Class</w:t>
            </w:r>
            <w:r w:rsidR="00482422">
              <w:rPr>
                <w:color w:val="434343"/>
                <w:sz w:val="20"/>
              </w:rPr>
              <w:t xml:space="preserve"> and critical question analysis  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Quiz 2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  <w:vAlign w:val="center"/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482422">
            <w:pPr>
              <w:spacing w:after="0"/>
              <w:ind w:left="2"/>
            </w:pPr>
            <w:r w:rsidRPr="00482422">
              <w:t>Election Commission (EC</w:t>
            </w:r>
            <w:r>
              <w:t>)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482422" w:rsidP="00482422">
            <w:pPr>
              <w:spacing w:after="0"/>
            </w:pPr>
            <w:r>
              <w:rPr>
                <w:color w:val="434343"/>
                <w:sz w:val="20"/>
              </w:rPr>
              <w:t xml:space="preserve">Important leading cases of Constitution 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Public Interest Litigation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Constitutional Amendments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Doctrine of Basic Structure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Review Class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Quiz 3</w:t>
            </w:r>
          </w:p>
        </w:tc>
      </w:tr>
    </w:tbl>
    <w:p w:rsidR="008D4B91" w:rsidRDefault="00B67631">
      <w:pPr>
        <w:tabs>
          <w:tab w:val="right" w:pos="9020"/>
        </w:tabs>
        <w:spacing w:after="80"/>
        <w:ind w:left="-15" w:right="-15"/>
      </w:pPr>
      <w:r>
        <w:rPr>
          <w:sz w:val="20"/>
        </w:rPr>
        <w:lastRenderedPageBreak/>
        <w:t>CONSTITUTIONAL LAW OF BANGLADESH-II</w:t>
      </w:r>
      <w:r>
        <w:rPr>
          <w:sz w:val="20"/>
        </w:rPr>
        <w:tab/>
        <w:t xml:space="preserve"> 1</w:t>
      </w:r>
    </w:p>
    <w:tbl>
      <w:tblPr>
        <w:tblStyle w:val="TableGrid"/>
        <w:tblW w:w="9020" w:type="dxa"/>
        <w:tblInd w:w="0" w:type="dxa"/>
        <w:tblCellMar>
          <w:top w:w="64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7242"/>
      </w:tblGrid>
      <w:tr w:rsidR="008D4B91">
        <w:trPr>
          <w:trHeight w:val="448"/>
        </w:trPr>
        <w:tc>
          <w:tcPr>
            <w:tcW w:w="9020" w:type="dxa"/>
            <w:gridSpan w:val="2"/>
            <w:tcBorders>
              <w:top w:val="nil"/>
              <w:left w:val="nil"/>
              <w:bottom w:val="single" w:sz="8" w:space="0" w:color="99948E"/>
              <w:right w:val="nil"/>
            </w:tcBorders>
            <w:shd w:val="clear" w:color="auto" w:fill="FCEDD1"/>
          </w:tcPr>
          <w:p w:rsidR="008D4B91" w:rsidRDefault="008D4B91"/>
        </w:tc>
      </w:tr>
      <w:tr w:rsidR="008D4B91">
        <w:trPr>
          <w:trHeight w:val="448"/>
        </w:trPr>
        <w:tc>
          <w:tcPr>
            <w:tcW w:w="1778" w:type="dxa"/>
            <w:vMerge w:val="restart"/>
            <w:tcBorders>
              <w:top w:val="single" w:sz="8" w:space="0" w:color="99948E"/>
              <w:left w:val="nil"/>
              <w:bottom w:val="nil"/>
              <w:right w:val="single" w:sz="8" w:space="0" w:color="99948E"/>
            </w:tcBorders>
            <w:shd w:val="clear" w:color="auto" w:fill="FCEDD1"/>
          </w:tcPr>
          <w:p w:rsidR="00B67631" w:rsidRDefault="00B67631">
            <w:pPr>
              <w:spacing w:after="20" w:line="433" w:lineRule="auto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36</w:t>
            </w:r>
          </w:p>
          <w:p w:rsidR="008D4B91" w:rsidRDefault="00B67631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 xml:space="preserve"> Lecture 37,38</w:t>
            </w:r>
          </w:p>
          <w:p w:rsidR="008D4B91" w:rsidRDefault="00B67631">
            <w:pPr>
              <w:spacing w:after="20" w:line="433" w:lineRule="auto"/>
            </w:pPr>
            <w:r>
              <w:rPr>
                <w:b/>
                <w:color w:val="434343"/>
                <w:sz w:val="20"/>
              </w:rPr>
              <w:t>Lecture 39,40 Lecture 41,42</w:t>
            </w:r>
          </w:p>
          <w:p w:rsidR="00B67631" w:rsidRDefault="00B67631">
            <w:pPr>
              <w:spacing w:after="0"/>
              <w:rPr>
                <w:b/>
                <w:color w:val="434343"/>
                <w:sz w:val="20"/>
              </w:rPr>
            </w:pPr>
            <w:r>
              <w:rPr>
                <w:b/>
                <w:color w:val="434343"/>
                <w:sz w:val="20"/>
              </w:rPr>
              <w:t>Lecture 44,45</w:t>
            </w:r>
          </w:p>
          <w:p w:rsidR="008D4B91" w:rsidRDefault="00B67631">
            <w:pPr>
              <w:spacing w:after="0"/>
            </w:pPr>
            <w:r>
              <w:rPr>
                <w:b/>
                <w:color w:val="434343"/>
                <w:sz w:val="20"/>
              </w:rPr>
              <w:t>Lecture 45</w:t>
            </w:r>
          </w:p>
        </w:tc>
        <w:tc>
          <w:tcPr>
            <w:tcW w:w="7242" w:type="dxa"/>
            <w:tcBorders>
              <w:top w:val="single" w:sz="8" w:space="0" w:color="99948E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Criticism of Doctrine of Basic Structure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Rule of Law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Election Commission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</w:tcPr>
          <w:p w:rsidR="008D4B91" w:rsidRDefault="00B67631">
            <w:pPr>
              <w:spacing w:after="0"/>
              <w:ind w:left="2"/>
              <w:rPr>
                <w:color w:val="434343"/>
                <w:sz w:val="20"/>
              </w:rPr>
            </w:pPr>
            <w:r>
              <w:rPr>
                <w:color w:val="434343"/>
                <w:sz w:val="20"/>
              </w:rPr>
              <w:t>Constitutional Doctrines</w:t>
            </w:r>
          </w:p>
          <w:p w:rsidR="00B67631" w:rsidRDefault="00B67631">
            <w:pPr>
              <w:spacing w:after="0"/>
              <w:ind w:left="2"/>
            </w:pPr>
            <w:r>
              <w:t xml:space="preserve">Floor crossing </w:t>
            </w:r>
          </w:p>
        </w:tc>
      </w:tr>
      <w:tr w:rsidR="008D4B91">
        <w:trPr>
          <w:trHeight w:val="4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9948E"/>
            </w:tcBorders>
          </w:tcPr>
          <w:p w:rsidR="008D4B91" w:rsidRDefault="008D4B91"/>
        </w:tc>
        <w:tc>
          <w:tcPr>
            <w:tcW w:w="7242" w:type="dxa"/>
            <w:tcBorders>
              <w:top w:val="nil"/>
              <w:left w:val="single" w:sz="8" w:space="0" w:color="99948E"/>
              <w:bottom w:val="nil"/>
              <w:right w:val="nil"/>
            </w:tcBorders>
            <w:shd w:val="clear" w:color="auto" w:fill="F9F7F3"/>
          </w:tcPr>
          <w:p w:rsidR="008D4B91" w:rsidRDefault="00B67631">
            <w:pPr>
              <w:spacing w:after="0"/>
              <w:ind w:left="2"/>
            </w:pPr>
            <w:r>
              <w:rPr>
                <w:color w:val="434343"/>
                <w:sz w:val="20"/>
              </w:rPr>
              <w:t>Review Class on Final Syllabus</w:t>
            </w:r>
          </w:p>
        </w:tc>
      </w:tr>
    </w:tbl>
    <w:p w:rsidR="008D4B91" w:rsidRDefault="00B67631">
      <w:pPr>
        <w:tabs>
          <w:tab w:val="right" w:pos="9020"/>
        </w:tabs>
        <w:spacing w:after="80"/>
        <w:ind w:left="-15" w:right="-15"/>
      </w:pPr>
      <w:r>
        <w:rPr>
          <w:sz w:val="20"/>
        </w:rPr>
        <w:t>CONSTITUTIONAL LAW OF BANGLADESH-II</w:t>
      </w:r>
      <w:r>
        <w:rPr>
          <w:sz w:val="20"/>
        </w:rPr>
        <w:tab/>
        <w:t xml:space="preserve"> 2</w:t>
      </w:r>
    </w:p>
    <w:sectPr w:rsidR="008D4B91">
      <w:pgSz w:w="11900" w:h="16840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1"/>
    <w:rsid w:val="00482422"/>
    <w:rsid w:val="008D4B91"/>
    <w:rsid w:val="00B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8CD8"/>
  <w15:docId w15:val="{CC313FC4-6AFD-4D0A-9F63-C05F684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2__Lesson Plan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2__Lesson Plan</dc:title>
  <dc:subject/>
  <dc:creator>DIU</dc:creator>
  <cp:keywords/>
  <cp:lastModifiedBy>DIU</cp:lastModifiedBy>
  <cp:revision>2</cp:revision>
  <dcterms:created xsi:type="dcterms:W3CDTF">2022-08-02T02:42:00Z</dcterms:created>
  <dcterms:modified xsi:type="dcterms:W3CDTF">2022-08-02T02:42:00Z</dcterms:modified>
</cp:coreProperties>
</file>